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0FD09">
      <w:pPr>
        <w:spacing w:before="120" w:after="120" w:line="360" w:lineRule="auto"/>
        <w:jc w:val="center"/>
        <w:rPr>
          <w:rFonts w:hint="eastAsia" w:ascii="仿宋" w:hAnsi="仿宋" w:eastAsia="仿宋"/>
          <w:b/>
          <w:sz w:val="72"/>
        </w:rPr>
      </w:pPr>
      <w:r>
        <w:rPr>
          <w:rFonts w:ascii="仿宋" w:hAnsi="仿宋" w:eastAsia="仿宋"/>
          <w:b/>
          <w:sz w:val="72"/>
        </w:rPr>
        <w:t>如</w:t>
      </w:r>
      <w:r>
        <w:rPr>
          <w:rFonts w:hint="eastAsia" w:ascii="仿宋" w:hAnsi="仿宋" w:eastAsia="仿宋"/>
          <w:b/>
          <w:sz w:val="72"/>
        </w:rPr>
        <w:t xml:space="preserve"> </w:t>
      </w:r>
      <w:r>
        <w:rPr>
          <w:rFonts w:ascii="仿宋" w:hAnsi="仿宋" w:eastAsia="仿宋"/>
          <w:b/>
          <w:sz w:val="72"/>
        </w:rPr>
        <w:t>东</w:t>
      </w:r>
      <w:r>
        <w:rPr>
          <w:rFonts w:hint="eastAsia" w:ascii="仿宋" w:hAnsi="仿宋" w:eastAsia="仿宋"/>
          <w:b/>
          <w:sz w:val="72"/>
        </w:rPr>
        <w:t xml:space="preserve"> </w:t>
      </w:r>
      <w:r>
        <w:rPr>
          <w:rFonts w:ascii="仿宋" w:hAnsi="仿宋" w:eastAsia="仿宋"/>
          <w:b/>
          <w:sz w:val="72"/>
        </w:rPr>
        <w:t>县</w:t>
      </w:r>
      <w:r>
        <w:rPr>
          <w:rFonts w:hint="eastAsia" w:ascii="仿宋" w:hAnsi="仿宋" w:eastAsia="仿宋"/>
          <w:b/>
          <w:sz w:val="72"/>
        </w:rPr>
        <w:t xml:space="preserve"> </w:t>
      </w:r>
      <w:r>
        <w:rPr>
          <w:rFonts w:ascii="仿宋" w:hAnsi="仿宋" w:eastAsia="仿宋"/>
          <w:b/>
          <w:sz w:val="72"/>
        </w:rPr>
        <w:t>人</w:t>
      </w:r>
      <w:r>
        <w:rPr>
          <w:rFonts w:hint="eastAsia" w:ascii="仿宋" w:hAnsi="仿宋" w:eastAsia="仿宋"/>
          <w:b/>
          <w:sz w:val="72"/>
        </w:rPr>
        <w:t xml:space="preserve"> </w:t>
      </w:r>
      <w:r>
        <w:rPr>
          <w:rFonts w:ascii="仿宋" w:hAnsi="仿宋" w:eastAsia="仿宋"/>
          <w:b/>
          <w:sz w:val="72"/>
        </w:rPr>
        <w:t>民</w:t>
      </w:r>
      <w:r>
        <w:rPr>
          <w:rFonts w:hint="eastAsia" w:ascii="仿宋" w:hAnsi="仿宋" w:eastAsia="仿宋"/>
          <w:b/>
          <w:sz w:val="72"/>
        </w:rPr>
        <w:t xml:space="preserve"> </w:t>
      </w:r>
      <w:r>
        <w:rPr>
          <w:rFonts w:ascii="仿宋" w:hAnsi="仿宋" w:eastAsia="仿宋"/>
          <w:b/>
          <w:sz w:val="72"/>
        </w:rPr>
        <w:t>医</w:t>
      </w:r>
      <w:r>
        <w:rPr>
          <w:rFonts w:hint="eastAsia" w:ascii="仿宋" w:hAnsi="仿宋" w:eastAsia="仿宋"/>
          <w:b/>
          <w:sz w:val="72"/>
        </w:rPr>
        <w:t xml:space="preserve"> </w:t>
      </w:r>
      <w:r>
        <w:rPr>
          <w:rFonts w:ascii="仿宋" w:hAnsi="仿宋" w:eastAsia="仿宋"/>
          <w:b/>
          <w:sz w:val="72"/>
        </w:rPr>
        <w:t>院</w:t>
      </w:r>
    </w:p>
    <w:p w14:paraId="3D983330">
      <w:pPr>
        <w:spacing w:before="120" w:after="120" w:line="360" w:lineRule="auto"/>
        <w:jc w:val="center"/>
        <w:rPr>
          <w:rFonts w:hint="eastAsia" w:ascii="仿宋" w:hAnsi="仿宋" w:eastAsia="仿宋"/>
          <w:sz w:val="24"/>
        </w:rPr>
      </w:pPr>
    </w:p>
    <w:p w14:paraId="12F08804">
      <w:pPr>
        <w:spacing w:before="120" w:after="120" w:line="360" w:lineRule="auto"/>
        <w:jc w:val="center"/>
        <w:rPr>
          <w:rFonts w:hint="eastAsia" w:ascii="仿宋" w:hAnsi="仿宋" w:eastAsia="仿宋"/>
          <w:sz w:val="24"/>
        </w:rPr>
      </w:pPr>
    </w:p>
    <w:p w14:paraId="309EB12F">
      <w:pPr>
        <w:spacing w:before="120" w:after="120" w:line="360" w:lineRule="auto"/>
        <w:jc w:val="center"/>
        <w:rPr>
          <w:rFonts w:hint="eastAsia" w:ascii="仿宋" w:hAnsi="仿宋" w:eastAsia="仿宋"/>
          <w:sz w:val="24"/>
        </w:rPr>
      </w:pPr>
    </w:p>
    <w:p w14:paraId="53002699">
      <w:pPr>
        <w:spacing w:before="120" w:after="120" w:line="360" w:lineRule="auto"/>
        <w:jc w:val="center"/>
        <w:rPr>
          <w:rFonts w:hint="eastAsia" w:ascii="仿宋" w:hAnsi="仿宋" w:eastAsia="仿宋"/>
          <w:b/>
          <w:sz w:val="84"/>
        </w:rPr>
      </w:pPr>
      <w:r>
        <w:rPr>
          <w:rFonts w:ascii="仿宋" w:hAnsi="仿宋" w:eastAsia="仿宋"/>
          <w:b/>
          <w:sz w:val="84"/>
        </w:rPr>
        <w:t>竞争性磋商文件</w:t>
      </w:r>
    </w:p>
    <w:p w14:paraId="47D5A335">
      <w:pPr>
        <w:spacing w:before="120" w:after="120" w:line="360" w:lineRule="auto"/>
        <w:jc w:val="center"/>
        <w:rPr>
          <w:rFonts w:hint="eastAsia" w:ascii="仿宋" w:hAnsi="仿宋" w:eastAsia="仿宋"/>
          <w:b/>
          <w:sz w:val="32"/>
        </w:rPr>
      </w:pPr>
    </w:p>
    <w:p w14:paraId="69E30A1C">
      <w:pPr>
        <w:spacing w:before="120" w:after="120" w:line="360" w:lineRule="auto"/>
        <w:jc w:val="center"/>
        <w:rPr>
          <w:rFonts w:hint="eastAsia" w:ascii="仿宋" w:hAnsi="仿宋" w:eastAsia="仿宋"/>
          <w:b/>
          <w:sz w:val="32"/>
        </w:rPr>
      </w:pPr>
    </w:p>
    <w:p w14:paraId="4607B68D">
      <w:pPr>
        <w:spacing w:before="120" w:after="120" w:line="360" w:lineRule="auto"/>
        <w:jc w:val="center"/>
        <w:rPr>
          <w:rFonts w:hint="eastAsia" w:ascii="仿宋" w:hAnsi="仿宋" w:eastAsia="仿宋"/>
          <w:b/>
          <w:sz w:val="32"/>
        </w:rPr>
      </w:pPr>
    </w:p>
    <w:p w14:paraId="30F32C05">
      <w:pPr>
        <w:spacing w:before="120" w:after="120" w:line="360" w:lineRule="auto"/>
        <w:jc w:val="center"/>
        <w:rPr>
          <w:rFonts w:hint="eastAsia" w:ascii="仿宋" w:hAnsi="仿宋" w:eastAsia="仿宋"/>
          <w:b/>
          <w:sz w:val="32"/>
        </w:rPr>
      </w:pPr>
    </w:p>
    <w:p w14:paraId="7BEC8BC3">
      <w:pPr>
        <w:spacing w:before="120" w:after="120" w:line="360" w:lineRule="auto"/>
        <w:jc w:val="center"/>
        <w:rPr>
          <w:rFonts w:hint="eastAsia" w:ascii="仿宋" w:hAnsi="仿宋" w:eastAsia="仿宋"/>
          <w:b/>
          <w:sz w:val="32"/>
        </w:rPr>
      </w:pPr>
    </w:p>
    <w:p w14:paraId="3CBAB0C6">
      <w:pPr>
        <w:spacing w:before="120" w:after="120" w:line="360" w:lineRule="auto"/>
        <w:jc w:val="left"/>
        <w:rPr>
          <w:rFonts w:hint="eastAsia" w:ascii="仿宋" w:hAnsi="仿宋" w:eastAsia="仿宋"/>
          <w:b/>
          <w:sz w:val="36"/>
          <w:u w:val="single"/>
        </w:rPr>
      </w:pPr>
      <w:r>
        <w:rPr>
          <w:rFonts w:ascii="仿宋" w:hAnsi="仿宋" w:eastAsia="仿宋"/>
          <w:b/>
          <w:sz w:val="36"/>
        </w:rPr>
        <w:t xml:space="preserve">  </w:t>
      </w:r>
    </w:p>
    <w:p w14:paraId="611C7C5C">
      <w:pPr>
        <w:spacing w:before="120" w:after="120" w:line="360" w:lineRule="auto"/>
        <w:ind w:left="2168" w:hanging="2168"/>
        <w:jc w:val="left"/>
        <w:rPr>
          <w:rFonts w:hint="eastAsia" w:ascii="仿宋" w:hAnsi="仿宋" w:eastAsia="仿宋"/>
          <w:b/>
          <w:sz w:val="36"/>
          <w:u w:val="single"/>
        </w:rPr>
      </w:pPr>
      <w:r>
        <w:rPr>
          <w:rFonts w:ascii="仿宋" w:hAnsi="仿宋" w:eastAsia="仿宋"/>
          <w:b/>
          <w:sz w:val="36"/>
        </w:rPr>
        <w:t xml:space="preserve">  项目名称：</w:t>
      </w:r>
      <w:r>
        <w:rPr>
          <w:rFonts w:hint="eastAsia" w:ascii="仿宋" w:hAnsi="仿宋" w:eastAsia="仿宋"/>
          <w:b/>
          <w:sz w:val="36"/>
          <w:u w:val="single"/>
        </w:rPr>
        <w:t xml:space="preserve">  如东县人民医院个人数字证书采购</w:t>
      </w:r>
      <w:r>
        <w:rPr>
          <w:rFonts w:hint="eastAsia" w:ascii="仿宋" w:hAnsi="仿宋" w:eastAsia="仿宋"/>
          <w:b/>
          <w:sz w:val="36"/>
          <w:u w:val="single"/>
          <w:lang w:eastAsia="zh-CN"/>
        </w:rPr>
        <w:t>及服务</w:t>
      </w:r>
      <w:r>
        <w:rPr>
          <w:rFonts w:hint="eastAsia" w:ascii="仿宋" w:hAnsi="仿宋" w:eastAsia="仿宋"/>
          <w:b/>
          <w:sz w:val="36"/>
          <w:u w:val="single"/>
        </w:rPr>
        <w:t xml:space="preserve">项目 </w:t>
      </w:r>
    </w:p>
    <w:p w14:paraId="1CDBCCDC">
      <w:pPr>
        <w:spacing w:before="120" w:after="120" w:line="360" w:lineRule="auto"/>
        <w:ind w:left="1807" w:hanging="1807"/>
        <w:jc w:val="left"/>
        <w:rPr>
          <w:rFonts w:hint="eastAsia" w:ascii="仿宋" w:hAnsi="仿宋" w:eastAsia="仿宋"/>
          <w:b/>
          <w:sz w:val="36"/>
          <w:u w:val="single"/>
        </w:rPr>
      </w:pPr>
      <w:r>
        <w:rPr>
          <w:rFonts w:ascii="仿宋" w:hAnsi="仿宋" w:eastAsia="仿宋"/>
          <w:b/>
          <w:sz w:val="36"/>
        </w:rPr>
        <w:t xml:space="preserve">  采购人名称：</w:t>
      </w:r>
      <w:r>
        <w:rPr>
          <w:rFonts w:ascii="仿宋" w:hAnsi="仿宋" w:eastAsia="仿宋"/>
          <w:b/>
          <w:sz w:val="36"/>
          <w:u w:val="single"/>
        </w:rPr>
        <w:t xml:space="preserve">      </w:t>
      </w:r>
      <w:r>
        <w:rPr>
          <w:rFonts w:hint="eastAsia" w:ascii="仿宋" w:hAnsi="仿宋" w:eastAsia="仿宋"/>
          <w:b/>
          <w:sz w:val="36"/>
          <w:u w:val="single"/>
        </w:rPr>
        <w:t xml:space="preserve"> </w:t>
      </w:r>
      <w:r>
        <w:rPr>
          <w:rFonts w:ascii="仿宋" w:hAnsi="仿宋" w:eastAsia="仿宋"/>
          <w:b/>
          <w:sz w:val="36"/>
          <w:u w:val="single"/>
        </w:rPr>
        <w:t xml:space="preserve"> 如东县人民医院   </w:t>
      </w:r>
      <w:r>
        <w:rPr>
          <w:rFonts w:hint="eastAsia" w:ascii="仿宋" w:hAnsi="仿宋" w:eastAsia="仿宋"/>
          <w:b/>
          <w:sz w:val="36"/>
          <w:u w:val="single"/>
        </w:rPr>
        <w:t xml:space="preserve">    </w:t>
      </w:r>
      <w:r>
        <w:rPr>
          <w:rFonts w:ascii="仿宋" w:hAnsi="仿宋" w:eastAsia="仿宋"/>
          <w:b/>
          <w:sz w:val="36"/>
          <w:u w:val="single"/>
        </w:rPr>
        <w:t xml:space="preserve">      </w:t>
      </w:r>
    </w:p>
    <w:p w14:paraId="374EDBEE">
      <w:pPr>
        <w:spacing w:before="120" w:after="120" w:line="360" w:lineRule="auto"/>
        <w:rPr>
          <w:rFonts w:hint="eastAsia" w:ascii="仿宋" w:hAnsi="仿宋" w:eastAsia="仿宋"/>
          <w:b/>
          <w:sz w:val="36"/>
        </w:rPr>
      </w:pPr>
      <w:r>
        <w:rPr>
          <w:rFonts w:ascii="仿宋" w:hAnsi="仿宋" w:eastAsia="仿宋"/>
          <w:b/>
          <w:sz w:val="36"/>
        </w:rPr>
        <w:t xml:space="preserve"> </w:t>
      </w:r>
      <w:r>
        <w:rPr>
          <w:rFonts w:hint="eastAsia" w:ascii="仿宋" w:hAnsi="仿宋" w:eastAsia="仿宋"/>
          <w:b/>
          <w:sz w:val="36"/>
        </w:rPr>
        <w:t xml:space="preserve"> </w:t>
      </w:r>
      <w:r>
        <w:rPr>
          <w:rFonts w:ascii="仿宋" w:hAnsi="仿宋" w:eastAsia="仿宋"/>
          <w:b/>
          <w:sz w:val="36"/>
        </w:rPr>
        <w:t>采购方式：</w:t>
      </w:r>
      <w:r>
        <w:rPr>
          <w:rFonts w:ascii="仿宋" w:hAnsi="仿宋" w:eastAsia="仿宋"/>
          <w:b/>
          <w:sz w:val="36"/>
          <w:u w:val="single"/>
        </w:rPr>
        <w:t xml:space="preserve">     </w:t>
      </w:r>
      <w:r>
        <w:rPr>
          <w:rFonts w:hint="eastAsia" w:ascii="仿宋" w:hAnsi="仿宋" w:eastAsia="仿宋"/>
          <w:b/>
          <w:sz w:val="36"/>
          <w:u w:val="single"/>
        </w:rPr>
        <w:t xml:space="preserve">    </w:t>
      </w:r>
      <w:r>
        <w:rPr>
          <w:rFonts w:ascii="仿宋" w:hAnsi="仿宋" w:eastAsia="仿宋"/>
          <w:b/>
          <w:sz w:val="36"/>
          <w:u w:val="single"/>
        </w:rPr>
        <w:t xml:space="preserve">  竞争性磋商     </w:t>
      </w:r>
      <w:r>
        <w:rPr>
          <w:rFonts w:hint="eastAsia" w:ascii="仿宋" w:hAnsi="仿宋" w:eastAsia="仿宋"/>
          <w:b/>
          <w:sz w:val="36"/>
          <w:u w:val="single"/>
        </w:rPr>
        <w:t xml:space="preserve"> </w:t>
      </w:r>
      <w:r>
        <w:rPr>
          <w:rFonts w:ascii="仿宋" w:hAnsi="仿宋" w:eastAsia="仿宋"/>
          <w:b/>
          <w:sz w:val="36"/>
          <w:u w:val="single"/>
        </w:rPr>
        <w:t xml:space="preserve">         </w:t>
      </w:r>
    </w:p>
    <w:p w14:paraId="6758024A">
      <w:pPr>
        <w:jc w:val="left"/>
        <w:rPr>
          <w:rFonts w:hint="eastAsia" w:ascii="仿宋" w:hAnsi="仿宋" w:eastAsia="仿宋"/>
          <w:b/>
          <w:sz w:val="36"/>
        </w:rPr>
      </w:pPr>
    </w:p>
    <w:p w14:paraId="365CC001">
      <w:pPr>
        <w:jc w:val="center"/>
        <w:rPr>
          <w:rFonts w:hint="eastAsia" w:ascii="仿宋" w:hAnsi="仿宋" w:eastAsia="仿宋"/>
          <w:b/>
          <w:sz w:val="36"/>
        </w:rPr>
      </w:pPr>
      <w:r>
        <w:rPr>
          <w:rFonts w:ascii="仿宋" w:hAnsi="仿宋" w:eastAsia="仿宋"/>
          <w:b/>
          <w:sz w:val="36"/>
        </w:rPr>
        <w:t>二O</w:t>
      </w:r>
      <w:r>
        <w:rPr>
          <w:rFonts w:hint="eastAsia" w:ascii="仿宋" w:hAnsi="仿宋" w:eastAsia="仿宋"/>
          <w:b/>
          <w:sz w:val="36"/>
        </w:rPr>
        <w:t>二四</w:t>
      </w:r>
      <w:r>
        <w:rPr>
          <w:rFonts w:ascii="仿宋" w:hAnsi="仿宋" w:eastAsia="仿宋"/>
          <w:b/>
          <w:sz w:val="36"/>
        </w:rPr>
        <w:t>年</w:t>
      </w:r>
      <w:r>
        <w:rPr>
          <w:rFonts w:hint="eastAsia" w:ascii="仿宋" w:hAnsi="仿宋" w:eastAsia="仿宋"/>
          <w:b/>
          <w:sz w:val="36"/>
        </w:rPr>
        <w:t xml:space="preserve"> </w:t>
      </w:r>
      <w:r>
        <w:rPr>
          <w:rFonts w:hint="eastAsia" w:ascii="仿宋" w:hAnsi="仿宋" w:eastAsia="仿宋"/>
          <w:b/>
          <w:sz w:val="36"/>
          <w:lang w:eastAsia="zh-CN"/>
        </w:rPr>
        <w:t>十</w:t>
      </w:r>
      <w:r>
        <w:rPr>
          <w:rFonts w:hint="eastAsia" w:ascii="仿宋" w:hAnsi="仿宋" w:eastAsia="仿宋"/>
          <w:b/>
          <w:sz w:val="36"/>
        </w:rPr>
        <w:t xml:space="preserve"> </w:t>
      </w:r>
      <w:r>
        <w:rPr>
          <w:rFonts w:ascii="仿宋" w:hAnsi="仿宋" w:eastAsia="仿宋"/>
          <w:b/>
          <w:sz w:val="36"/>
        </w:rPr>
        <w:t>月</w:t>
      </w:r>
      <w:r>
        <w:rPr>
          <w:rFonts w:hint="eastAsia" w:ascii="仿宋" w:hAnsi="仿宋" w:eastAsia="仿宋"/>
          <w:b/>
          <w:sz w:val="36"/>
        </w:rPr>
        <w:t xml:space="preserve"> </w:t>
      </w:r>
      <w:r>
        <w:rPr>
          <w:rFonts w:hint="eastAsia" w:ascii="仿宋" w:hAnsi="仿宋" w:eastAsia="仿宋"/>
          <w:b/>
          <w:sz w:val="36"/>
          <w:lang w:eastAsia="zh-CN"/>
        </w:rPr>
        <w:t>八</w:t>
      </w:r>
      <w:r>
        <w:rPr>
          <w:rFonts w:hint="eastAsia" w:ascii="仿宋" w:hAnsi="仿宋" w:eastAsia="仿宋"/>
          <w:b/>
          <w:sz w:val="36"/>
        </w:rPr>
        <w:t xml:space="preserve"> </w:t>
      </w:r>
      <w:r>
        <w:rPr>
          <w:rFonts w:ascii="仿宋" w:hAnsi="仿宋" w:eastAsia="仿宋"/>
          <w:b/>
          <w:sz w:val="36"/>
        </w:rPr>
        <w:t>日</w:t>
      </w:r>
    </w:p>
    <w:p w14:paraId="1F3EA827">
      <w:pPr>
        <w:jc w:val="center"/>
        <w:rPr>
          <w:rFonts w:hint="eastAsia" w:ascii="仿宋" w:hAnsi="仿宋" w:eastAsia="仿宋"/>
          <w:b/>
          <w:sz w:val="44"/>
        </w:rPr>
      </w:pPr>
      <w:r>
        <w:br w:type="page"/>
      </w:r>
      <w:r>
        <w:rPr>
          <w:rFonts w:ascii="仿宋" w:hAnsi="仿宋" w:eastAsia="仿宋"/>
          <w:b/>
          <w:sz w:val="44"/>
        </w:rPr>
        <w:t>总  目  录</w:t>
      </w:r>
    </w:p>
    <w:p w14:paraId="41C5A614">
      <w:pPr>
        <w:spacing w:line="360" w:lineRule="auto"/>
        <w:jc w:val="center"/>
        <w:rPr>
          <w:rFonts w:hint="eastAsia" w:ascii="仿宋" w:hAnsi="仿宋" w:eastAsia="仿宋"/>
          <w:b/>
          <w:sz w:val="24"/>
        </w:rPr>
      </w:pPr>
    </w:p>
    <w:p w14:paraId="568112CC">
      <w:pPr>
        <w:tabs>
          <w:tab w:val="right" w:leader="dot" w:pos="9660"/>
        </w:tabs>
        <w:spacing w:before="120" w:after="120"/>
        <w:jc w:val="left"/>
        <w:rPr>
          <w:rFonts w:hint="eastAsia" w:ascii="仿宋" w:hAnsi="仿宋" w:eastAsia="仿宋"/>
          <w:b/>
          <w:caps/>
          <w:sz w:val="28"/>
        </w:rPr>
      </w:pPr>
      <w:r>
        <w:rPr>
          <w:rFonts w:ascii="仿宋" w:hAnsi="仿宋" w:eastAsia="仿宋"/>
          <w:b/>
          <w:caps/>
          <w:sz w:val="28"/>
        </w:rPr>
        <w:t xml:space="preserve">第一章  </w:t>
      </w:r>
      <w:r>
        <w:rPr>
          <w:rFonts w:hint="eastAsia" w:ascii="仿宋" w:hAnsi="仿宋" w:eastAsia="仿宋"/>
          <w:b/>
          <w:caps/>
          <w:sz w:val="28"/>
        </w:rPr>
        <w:t>竞争性磋商</w:t>
      </w:r>
      <w:r>
        <w:rPr>
          <w:rFonts w:ascii="仿宋" w:hAnsi="仿宋" w:eastAsia="仿宋"/>
          <w:b/>
          <w:caps/>
          <w:sz w:val="28"/>
        </w:rPr>
        <w:t>公告</w:t>
      </w:r>
      <w:r>
        <w:rPr>
          <w:rFonts w:ascii="仿宋" w:hAnsi="仿宋" w:eastAsia="仿宋"/>
          <w:b/>
          <w:caps/>
          <w:sz w:val="28"/>
        </w:rPr>
        <w:tab/>
      </w:r>
      <w:r>
        <w:rPr>
          <w:rFonts w:ascii="仿宋" w:hAnsi="仿宋" w:eastAsia="仿宋"/>
          <w:b/>
          <w:caps/>
          <w:sz w:val="28"/>
        </w:rPr>
        <w:t>3</w:t>
      </w:r>
    </w:p>
    <w:p w14:paraId="30BB0B87">
      <w:pPr>
        <w:tabs>
          <w:tab w:val="right" w:leader="dot" w:pos="9660"/>
        </w:tabs>
        <w:spacing w:before="120" w:after="120"/>
        <w:jc w:val="left"/>
        <w:rPr>
          <w:rFonts w:hint="eastAsia" w:ascii="仿宋" w:hAnsi="仿宋" w:eastAsia="仿宋"/>
          <w:b/>
          <w:caps/>
          <w:sz w:val="28"/>
        </w:rPr>
      </w:pPr>
      <w:r>
        <w:rPr>
          <w:rFonts w:ascii="仿宋" w:hAnsi="仿宋" w:eastAsia="仿宋"/>
          <w:b/>
          <w:caps/>
          <w:sz w:val="28"/>
        </w:rPr>
        <w:t>第二章  供应商须知</w:t>
      </w:r>
      <w:r>
        <w:rPr>
          <w:rFonts w:ascii="仿宋" w:hAnsi="仿宋" w:eastAsia="仿宋"/>
          <w:b/>
          <w:caps/>
          <w:sz w:val="28"/>
        </w:rPr>
        <w:tab/>
      </w:r>
      <w:r>
        <w:rPr>
          <w:rFonts w:ascii="仿宋" w:hAnsi="仿宋" w:eastAsia="仿宋"/>
          <w:b/>
          <w:caps/>
          <w:sz w:val="28"/>
        </w:rPr>
        <w:t>6</w:t>
      </w:r>
    </w:p>
    <w:p w14:paraId="12B617B5">
      <w:pPr>
        <w:tabs>
          <w:tab w:val="right" w:leader="dot" w:pos="9660"/>
        </w:tabs>
        <w:spacing w:before="120" w:after="120"/>
        <w:jc w:val="left"/>
        <w:rPr>
          <w:rFonts w:hint="eastAsia" w:ascii="仿宋" w:hAnsi="仿宋" w:eastAsia="仿宋"/>
          <w:b/>
          <w:caps/>
          <w:sz w:val="28"/>
        </w:rPr>
      </w:pPr>
      <w:r>
        <w:rPr>
          <w:rFonts w:ascii="仿宋" w:hAnsi="仿宋" w:eastAsia="仿宋"/>
          <w:b/>
          <w:caps/>
          <w:sz w:val="28"/>
        </w:rPr>
        <w:t>第三章  项目需求</w:t>
      </w:r>
      <w:r>
        <w:rPr>
          <w:rFonts w:ascii="仿宋" w:hAnsi="仿宋" w:eastAsia="仿宋"/>
          <w:b/>
          <w:caps/>
          <w:sz w:val="28"/>
        </w:rPr>
        <w:tab/>
      </w:r>
      <w:r>
        <w:rPr>
          <w:rFonts w:hint="eastAsia" w:ascii="仿宋" w:hAnsi="仿宋" w:eastAsia="仿宋"/>
          <w:b/>
          <w:caps/>
          <w:sz w:val="28"/>
        </w:rPr>
        <w:t>1</w:t>
      </w:r>
      <w:r>
        <w:rPr>
          <w:rFonts w:ascii="仿宋" w:hAnsi="仿宋" w:eastAsia="仿宋"/>
          <w:b/>
          <w:caps/>
          <w:sz w:val="28"/>
        </w:rPr>
        <w:t>6</w:t>
      </w:r>
    </w:p>
    <w:p w14:paraId="6EB8302D">
      <w:pPr>
        <w:tabs>
          <w:tab w:val="right" w:leader="dot" w:pos="9660"/>
        </w:tabs>
        <w:spacing w:before="120" w:after="120"/>
        <w:jc w:val="left"/>
        <w:rPr>
          <w:rFonts w:hint="eastAsia" w:ascii="仿宋" w:hAnsi="仿宋" w:eastAsia="仿宋"/>
          <w:b/>
          <w:caps/>
          <w:sz w:val="28"/>
        </w:rPr>
      </w:pPr>
      <w:r>
        <w:rPr>
          <w:rFonts w:ascii="仿宋" w:hAnsi="仿宋" w:eastAsia="仿宋"/>
          <w:b/>
          <w:caps/>
          <w:sz w:val="28"/>
        </w:rPr>
        <w:t>第四章  评标方法与评标标准</w:t>
      </w:r>
      <w:r>
        <w:rPr>
          <w:rFonts w:ascii="仿宋" w:hAnsi="仿宋" w:eastAsia="仿宋"/>
          <w:b/>
          <w:caps/>
          <w:sz w:val="28"/>
        </w:rPr>
        <w:tab/>
      </w:r>
      <w:r>
        <w:rPr>
          <w:rFonts w:hint="eastAsia" w:ascii="仿宋" w:hAnsi="仿宋" w:eastAsia="仿宋"/>
          <w:b/>
          <w:caps/>
          <w:sz w:val="28"/>
        </w:rPr>
        <w:t>1</w:t>
      </w:r>
      <w:r>
        <w:rPr>
          <w:rFonts w:ascii="仿宋" w:hAnsi="仿宋" w:eastAsia="仿宋"/>
          <w:b/>
          <w:caps/>
          <w:sz w:val="28"/>
        </w:rPr>
        <w:t>7</w:t>
      </w:r>
    </w:p>
    <w:p w14:paraId="2B1D1BBF">
      <w:pPr>
        <w:tabs>
          <w:tab w:val="right" w:leader="dot" w:pos="9660"/>
        </w:tabs>
        <w:spacing w:before="120" w:after="120"/>
        <w:jc w:val="left"/>
        <w:rPr>
          <w:rFonts w:hint="eastAsia" w:ascii="仿宋" w:hAnsi="仿宋" w:eastAsia="仿宋"/>
          <w:b/>
          <w:caps/>
          <w:sz w:val="28"/>
        </w:rPr>
      </w:pPr>
      <w:r>
        <w:rPr>
          <w:rFonts w:ascii="仿宋" w:hAnsi="仿宋" w:eastAsia="仿宋"/>
          <w:b/>
          <w:caps/>
          <w:sz w:val="28"/>
        </w:rPr>
        <w:t>第五章  投标响应文件格式</w:t>
      </w:r>
      <w:r>
        <w:rPr>
          <w:rFonts w:ascii="仿宋" w:hAnsi="仿宋" w:eastAsia="仿宋"/>
          <w:b/>
          <w:caps/>
          <w:sz w:val="28"/>
        </w:rPr>
        <w:tab/>
      </w:r>
      <w:r>
        <w:rPr>
          <w:rFonts w:hint="eastAsia" w:ascii="仿宋" w:hAnsi="仿宋" w:eastAsia="仿宋"/>
          <w:b/>
          <w:caps/>
          <w:sz w:val="28"/>
        </w:rPr>
        <w:t>1</w:t>
      </w:r>
      <w:r>
        <w:rPr>
          <w:rFonts w:ascii="仿宋" w:hAnsi="仿宋" w:eastAsia="仿宋"/>
          <w:b/>
          <w:caps/>
          <w:sz w:val="28"/>
        </w:rPr>
        <w:t>9</w:t>
      </w:r>
    </w:p>
    <w:p w14:paraId="16BE295C">
      <w:pPr>
        <w:spacing w:line="360" w:lineRule="auto"/>
        <w:jc w:val="center"/>
        <w:rPr>
          <w:rFonts w:hint="eastAsia" w:ascii="仿宋" w:hAnsi="仿宋" w:eastAsia="仿宋"/>
          <w:caps/>
          <w:sz w:val="24"/>
        </w:rPr>
      </w:pPr>
    </w:p>
    <w:p w14:paraId="18456007">
      <w:pPr>
        <w:spacing w:line="360" w:lineRule="auto"/>
        <w:jc w:val="center"/>
        <w:rPr>
          <w:rFonts w:hint="eastAsia" w:ascii="宋体" w:hAnsi="宋体" w:cs="宋体" w:eastAsiaTheme="minorEastAsia"/>
          <w:b/>
          <w:sz w:val="44"/>
          <w:lang w:val="en-US" w:eastAsia="zh-CN"/>
        </w:rPr>
      </w:pPr>
      <w:r>
        <w:br w:type="page"/>
      </w:r>
      <w:r>
        <w:rPr>
          <w:rFonts w:hint="eastAsia" w:ascii="宋体" w:hAnsi="宋体" w:cs="宋体"/>
          <w:b/>
          <w:sz w:val="44"/>
        </w:rPr>
        <w:t xml:space="preserve">第一章 </w:t>
      </w:r>
      <w:bookmarkStart w:id="0" w:name="_Hlk132209969"/>
      <w:r>
        <w:rPr>
          <w:rFonts w:hint="eastAsia" w:ascii="宋体" w:hAnsi="宋体" w:cs="宋体"/>
          <w:b/>
          <w:sz w:val="44"/>
        </w:rPr>
        <w:t>竞争性磋商公告</w:t>
      </w:r>
      <w:r>
        <w:rPr>
          <w:rFonts w:hint="eastAsia" w:ascii="宋体" w:hAnsi="宋体" w:cs="宋体"/>
          <w:b/>
          <w:sz w:val="44"/>
          <w:lang w:val="en-US" w:eastAsia="zh-CN"/>
        </w:rPr>
        <w:t>（第二次</w:t>
      </w:r>
      <w:bookmarkStart w:id="13" w:name="_GoBack"/>
      <w:bookmarkEnd w:id="13"/>
      <w:r>
        <w:rPr>
          <w:rFonts w:hint="eastAsia" w:ascii="宋体" w:hAnsi="宋体" w:cs="宋体"/>
          <w:b/>
          <w:sz w:val="44"/>
          <w:lang w:val="en-US" w:eastAsia="zh-CN"/>
        </w:rPr>
        <w:t>）</w:t>
      </w:r>
    </w:p>
    <w:p w14:paraId="3881A97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cstheme="minorEastAsia"/>
          <w:sz w:val="24"/>
          <w:szCs w:val="24"/>
        </w:rPr>
      </w:pPr>
      <w:bookmarkStart w:id="1" w:name="OLE_LINK1"/>
      <w:r>
        <w:rPr>
          <w:rFonts w:hint="eastAsia" w:asciiTheme="minorEastAsia" w:hAnsiTheme="minorEastAsia" w:cstheme="minorEastAsia"/>
          <w:sz w:val="24"/>
          <w:szCs w:val="24"/>
        </w:rPr>
        <w:t>项目概况</w:t>
      </w:r>
    </w:p>
    <w:p w14:paraId="614EE1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u w:val="single"/>
        </w:rPr>
        <w:t>如东县人民医院个人数字证书采购</w:t>
      </w:r>
      <w:r>
        <w:rPr>
          <w:rFonts w:hint="eastAsia" w:asciiTheme="minorEastAsia" w:hAnsiTheme="minorEastAsia" w:cstheme="minorEastAsia"/>
          <w:sz w:val="24"/>
          <w:szCs w:val="24"/>
          <w:u w:val="single"/>
          <w:lang w:eastAsia="zh-CN"/>
        </w:rPr>
        <w:t>及</w:t>
      </w:r>
      <w:r>
        <w:rPr>
          <w:rFonts w:hint="eastAsia" w:asciiTheme="minorEastAsia" w:hAnsiTheme="minorEastAsia" w:cstheme="minorEastAsia"/>
          <w:sz w:val="24"/>
          <w:szCs w:val="24"/>
          <w:u w:val="single"/>
        </w:rPr>
        <w:t>服务项目</w:t>
      </w:r>
      <w:r>
        <w:rPr>
          <w:rFonts w:hint="eastAsia" w:asciiTheme="minorEastAsia" w:hAnsiTheme="minorEastAsia" w:cstheme="minorEastAsia"/>
          <w:sz w:val="24"/>
          <w:szCs w:val="24"/>
        </w:rPr>
        <w:t>的潜在供应商在如东县限额交易网获取采购文件，并于</w:t>
      </w:r>
      <w:r>
        <w:rPr>
          <w:rFonts w:hint="eastAsia" w:asciiTheme="minorEastAsia" w:hAnsiTheme="minorEastAsia" w:cstheme="minorEastAsia"/>
          <w:sz w:val="24"/>
          <w:szCs w:val="24"/>
          <w:u w:val="single"/>
        </w:rPr>
        <w:t>2024</w:t>
      </w:r>
      <w:r>
        <w:rPr>
          <w:rFonts w:hint="eastAsia" w:asciiTheme="minorEastAsia" w:hAnsiTheme="minorEastAsia" w:cstheme="minorEastAsia"/>
          <w:bCs/>
          <w:sz w:val="24"/>
          <w:szCs w:val="24"/>
          <w:u w:val="single"/>
        </w:rPr>
        <w:t xml:space="preserve">年 </w:t>
      </w:r>
      <w:r>
        <w:rPr>
          <w:rFonts w:hint="eastAsia" w:asciiTheme="minorEastAsia" w:hAnsiTheme="minorEastAsia" w:cstheme="minorEastAsia"/>
          <w:bCs/>
          <w:sz w:val="24"/>
          <w:szCs w:val="24"/>
          <w:u w:val="single"/>
          <w:lang w:val="en-US" w:eastAsia="zh-CN"/>
        </w:rPr>
        <w:t>11</w:t>
      </w:r>
      <w:r>
        <w:rPr>
          <w:rFonts w:hint="eastAsia" w:asciiTheme="minorEastAsia" w:hAnsiTheme="minorEastAsia" w:cstheme="minorEastAsia"/>
          <w:bCs/>
          <w:sz w:val="24"/>
          <w:szCs w:val="24"/>
          <w:u w:val="single"/>
        </w:rPr>
        <w:t xml:space="preserve">  月 </w:t>
      </w:r>
      <w:r>
        <w:rPr>
          <w:rFonts w:hint="eastAsia" w:asciiTheme="minorEastAsia" w:hAnsiTheme="minorEastAsia" w:cstheme="minorEastAsia"/>
          <w:bCs/>
          <w:sz w:val="24"/>
          <w:szCs w:val="24"/>
          <w:u w:val="single"/>
          <w:lang w:val="en-US" w:eastAsia="zh-CN"/>
        </w:rPr>
        <w:t>1</w:t>
      </w:r>
      <w:r>
        <w:rPr>
          <w:rFonts w:hint="eastAsia" w:asciiTheme="minorEastAsia" w:hAnsiTheme="minorEastAsia" w:cstheme="minorEastAsia"/>
          <w:bCs/>
          <w:sz w:val="24"/>
          <w:szCs w:val="24"/>
          <w:u w:val="single"/>
        </w:rPr>
        <w:t xml:space="preserve">  日14点30分</w:t>
      </w:r>
      <w:r>
        <w:rPr>
          <w:rFonts w:hint="eastAsia" w:asciiTheme="minorEastAsia" w:hAnsiTheme="minorEastAsia" w:cstheme="minorEastAsia"/>
          <w:bCs/>
          <w:sz w:val="24"/>
          <w:szCs w:val="24"/>
        </w:rPr>
        <w:t>（北京时间）前提交响应文件</w:t>
      </w:r>
      <w:r>
        <w:rPr>
          <w:rFonts w:hint="eastAsia" w:asciiTheme="minorEastAsia" w:hAnsiTheme="minorEastAsia" w:cstheme="minorEastAsia"/>
          <w:sz w:val="24"/>
          <w:szCs w:val="24"/>
        </w:rPr>
        <w:t>。</w:t>
      </w:r>
    </w:p>
    <w:p w14:paraId="2A220006">
      <w:pPr>
        <w:shd w:val="clear" w:color="auto" w:fill="FFFFFF"/>
        <w:spacing w:line="360" w:lineRule="auto"/>
        <w:ind w:firstLine="510" w:firstLineChars="200"/>
        <w:rPr>
          <w:rFonts w:hint="eastAsia" w:asciiTheme="minorEastAsia" w:hAnsiTheme="minorEastAsia" w:cstheme="minorEastAsia"/>
          <w:b/>
          <w:spacing w:val="7"/>
          <w:sz w:val="24"/>
          <w:szCs w:val="24"/>
        </w:rPr>
      </w:pPr>
      <w:r>
        <w:rPr>
          <w:rFonts w:hint="eastAsia" w:asciiTheme="minorEastAsia" w:hAnsiTheme="minorEastAsia" w:cstheme="minorEastAsia"/>
          <w:b/>
          <w:spacing w:val="7"/>
          <w:sz w:val="24"/>
          <w:szCs w:val="24"/>
        </w:rPr>
        <w:t>一、项目概况</w:t>
      </w:r>
    </w:p>
    <w:p w14:paraId="7567BD3E">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项目编号： </w:t>
      </w:r>
    </w:p>
    <w:p w14:paraId="27D3F64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项目名称：如东县人民医院个人数字证书采购</w:t>
      </w:r>
      <w:r>
        <w:rPr>
          <w:rFonts w:hint="eastAsia" w:asciiTheme="minorEastAsia" w:hAnsiTheme="minorEastAsia" w:cstheme="minorEastAsia"/>
          <w:sz w:val="24"/>
          <w:szCs w:val="24"/>
          <w:lang w:eastAsia="zh-CN"/>
        </w:rPr>
        <w:t>及</w:t>
      </w:r>
      <w:r>
        <w:rPr>
          <w:rFonts w:hint="eastAsia" w:asciiTheme="minorEastAsia" w:hAnsiTheme="minorEastAsia" w:cstheme="minorEastAsia"/>
          <w:sz w:val="24"/>
          <w:szCs w:val="24"/>
        </w:rPr>
        <w:t>服务项目</w:t>
      </w:r>
    </w:p>
    <w:p w14:paraId="099BB3EC">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采购方式：竞争性磋商</w:t>
      </w:r>
    </w:p>
    <w:p w14:paraId="35522C11">
      <w:pPr>
        <w:spacing w:line="360" w:lineRule="auto"/>
        <w:ind w:firstLine="480" w:firstLineChars="200"/>
        <w:rPr>
          <w:rFonts w:hint="eastAsia" w:asciiTheme="minorEastAsia" w:hAnsiTheme="minorEastAsia" w:cstheme="minorEastAsia"/>
          <w:sz w:val="24"/>
          <w:szCs w:val="24"/>
          <w:highlight w:val="yellow"/>
        </w:rPr>
      </w:pPr>
      <w:r>
        <w:rPr>
          <w:rFonts w:hint="eastAsia" w:asciiTheme="minorEastAsia" w:hAnsiTheme="minorEastAsia" w:cstheme="minorEastAsia"/>
          <w:sz w:val="24"/>
          <w:szCs w:val="24"/>
          <w:highlight w:val="yellow"/>
        </w:rPr>
        <w:t xml:space="preserve">预算金额：  </w:t>
      </w:r>
      <w:r>
        <w:rPr>
          <w:rFonts w:hint="eastAsia" w:asciiTheme="minorEastAsia" w:hAnsiTheme="minorEastAsia" w:cstheme="minorEastAsia"/>
          <w:sz w:val="24"/>
          <w:szCs w:val="24"/>
          <w:highlight w:val="yellow"/>
          <w:lang w:val="en-US" w:eastAsia="zh-CN"/>
        </w:rPr>
        <w:t>6.6</w:t>
      </w:r>
      <w:r>
        <w:rPr>
          <w:rFonts w:hint="eastAsia" w:asciiTheme="minorEastAsia" w:hAnsiTheme="minorEastAsia" w:cstheme="minorEastAsia"/>
          <w:sz w:val="24"/>
          <w:szCs w:val="24"/>
          <w:highlight w:val="yellow"/>
        </w:rPr>
        <w:t xml:space="preserve">   万元</w:t>
      </w:r>
    </w:p>
    <w:p w14:paraId="2C715F05">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highlight w:val="yellow"/>
        </w:rPr>
        <w:t xml:space="preserve">最高限价（如有）：  </w:t>
      </w:r>
      <w:r>
        <w:rPr>
          <w:rFonts w:hint="eastAsia" w:asciiTheme="minorEastAsia" w:hAnsiTheme="minorEastAsia" w:cstheme="minorEastAsia"/>
          <w:sz w:val="24"/>
          <w:szCs w:val="24"/>
          <w:highlight w:val="yellow"/>
          <w:lang w:val="en-US" w:eastAsia="zh-CN"/>
        </w:rPr>
        <w:t>6.6</w:t>
      </w:r>
      <w:r>
        <w:rPr>
          <w:rFonts w:hint="eastAsia" w:asciiTheme="minorEastAsia" w:hAnsiTheme="minorEastAsia" w:cstheme="minorEastAsia"/>
          <w:sz w:val="24"/>
          <w:szCs w:val="24"/>
          <w:highlight w:val="yellow"/>
        </w:rPr>
        <w:t xml:space="preserve">   万元</w:t>
      </w:r>
    </w:p>
    <w:p w14:paraId="14570A4D">
      <w:pPr>
        <w:spacing w:line="360" w:lineRule="auto"/>
        <w:ind w:firstLine="480" w:firstLineChars="200"/>
        <w:rPr>
          <w:rFonts w:hint="eastAsia" w:asciiTheme="minorEastAsia" w:hAnsiTheme="minorEastAsia" w:cstheme="minorEastAsia"/>
          <w:spacing w:val="7"/>
          <w:sz w:val="24"/>
          <w:szCs w:val="24"/>
        </w:rPr>
      </w:pPr>
      <w:r>
        <w:rPr>
          <w:rFonts w:hint="eastAsia" w:asciiTheme="minorEastAsia" w:hAnsiTheme="minorEastAsia" w:cstheme="minorEastAsia"/>
          <w:sz w:val="24"/>
          <w:szCs w:val="24"/>
        </w:rPr>
        <w:t>采购需求：</w:t>
      </w:r>
      <w:r>
        <w:rPr>
          <w:rFonts w:hint="eastAsia" w:asciiTheme="minorEastAsia" w:hAnsiTheme="minorEastAsia" w:cstheme="minorEastAsia"/>
          <w:spacing w:val="7"/>
          <w:sz w:val="24"/>
          <w:szCs w:val="24"/>
        </w:rPr>
        <w:t>具体内容详见第三章项目需求，请仔细研究。</w:t>
      </w:r>
    </w:p>
    <w:p w14:paraId="6A32EA63">
      <w:pPr>
        <w:spacing w:line="360" w:lineRule="auto"/>
        <w:ind w:firstLine="508" w:firstLineChars="200"/>
        <w:rPr>
          <w:rFonts w:hint="eastAsia" w:asciiTheme="minorEastAsia" w:hAnsiTheme="minorEastAsia" w:cstheme="minorEastAsia"/>
          <w:spacing w:val="7"/>
          <w:sz w:val="24"/>
          <w:szCs w:val="24"/>
        </w:rPr>
      </w:pPr>
      <w:r>
        <w:rPr>
          <w:rFonts w:hint="eastAsia" w:asciiTheme="minorEastAsia" w:hAnsiTheme="minorEastAsia" w:cstheme="minorEastAsia"/>
          <w:spacing w:val="7"/>
          <w:sz w:val="24"/>
          <w:szCs w:val="24"/>
        </w:rPr>
        <w:t>合同履行期限：要求本项目自合同正式签署生效起2个自然日内完成。</w:t>
      </w:r>
    </w:p>
    <w:p w14:paraId="3E56BD91">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本项目不接受联合体投标。</w:t>
      </w:r>
    </w:p>
    <w:p w14:paraId="20B34935">
      <w:pPr>
        <w:shd w:val="clear" w:color="auto" w:fill="FFFFFF"/>
        <w:spacing w:line="360" w:lineRule="auto"/>
        <w:ind w:firstLine="436" w:firstLineChars="171"/>
        <w:rPr>
          <w:rFonts w:hint="eastAsia" w:asciiTheme="minorEastAsia" w:hAnsiTheme="minorEastAsia" w:cstheme="minorEastAsia"/>
          <w:b/>
          <w:spacing w:val="7"/>
          <w:sz w:val="24"/>
          <w:szCs w:val="24"/>
        </w:rPr>
      </w:pPr>
      <w:r>
        <w:rPr>
          <w:rFonts w:hint="eastAsia" w:asciiTheme="minorEastAsia" w:hAnsiTheme="minorEastAsia" w:cstheme="minorEastAsia"/>
          <w:b/>
          <w:spacing w:val="7"/>
          <w:sz w:val="24"/>
          <w:szCs w:val="24"/>
        </w:rPr>
        <w:t>二、申请人的资格要求：</w:t>
      </w:r>
    </w:p>
    <w:p w14:paraId="190C2E74">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1.满足《中华人民共和国政府采购法》第二十二条规定；</w:t>
      </w:r>
    </w:p>
    <w:p w14:paraId="035ED47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2.落实政府采购政策需满足的资格要求：</w:t>
      </w:r>
      <w:r>
        <w:rPr>
          <w:rFonts w:hint="eastAsia" w:asciiTheme="minorEastAsia" w:hAnsiTheme="minorEastAsia" w:cstheme="minorEastAsia"/>
          <w:sz w:val="24"/>
          <w:szCs w:val="24"/>
          <w:u w:val="single"/>
        </w:rPr>
        <w:t>无</w:t>
      </w:r>
    </w:p>
    <w:p w14:paraId="68096ECF">
      <w:pPr>
        <w:spacing w:line="360" w:lineRule="auto"/>
        <w:ind w:firstLine="480" w:firstLineChars="200"/>
        <w:rPr>
          <w:rFonts w:hint="eastAsia" w:ascii="宋体" w:hAnsi="宋体"/>
          <w:sz w:val="24"/>
        </w:rPr>
      </w:pPr>
      <w:r>
        <w:rPr>
          <w:rFonts w:hint="eastAsia" w:asciiTheme="minorEastAsia" w:hAnsiTheme="minorEastAsia" w:cstheme="minorEastAsia"/>
          <w:sz w:val="24"/>
          <w:szCs w:val="24"/>
        </w:rPr>
        <w:t>3.本项目的特定资格要求：</w:t>
      </w:r>
      <w:r>
        <w:rPr>
          <w:rFonts w:hint="eastAsia" w:ascii="宋体" w:hAnsi="宋体"/>
          <w:sz w:val="24"/>
        </w:rPr>
        <w:t>无</w:t>
      </w:r>
    </w:p>
    <w:p w14:paraId="4CECE107">
      <w:pPr>
        <w:pStyle w:val="17"/>
        <w:spacing w:line="360" w:lineRule="auto"/>
        <w:ind w:left="0" w:firstLine="480"/>
        <w:rPr>
          <w:rFonts w:hint="eastAsia" w:asciiTheme="minorEastAsia" w:hAnsiTheme="minorEastAsia" w:eastAsiaTheme="minorEastAsia" w:cstheme="minorEastAsia"/>
          <w:szCs w:val="24"/>
        </w:rPr>
      </w:pPr>
      <w:r>
        <w:rPr>
          <w:rStyle w:val="23"/>
          <w:rFonts w:hint="eastAsia" w:asciiTheme="minorEastAsia" w:hAnsiTheme="minorEastAsia" w:eastAsiaTheme="minorEastAsia" w:cstheme="minorEastAsia"/>
          <w:szCs w:val="24"/>
        </w:rPr>
        <w:t>三、获取磋商文件</w:t>
      </w:r>
    </w:p>
    <w:p w14:paraId="36819D9D">
      <w:pPr>
        <w:pStyle w:val="17"/>
        <w:shd w:val="clear" w:color="auto" w:fill="FFFFFF"/>
        <w:spacing w:line="360" w:lineRule="auto"/>
        <w:ind w:left="0"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 xml:space="preserve">时间：2024年 </w:t>
      </w:r>
      <w:r>
        <w:rPr>
          <w:rFonts w:hint="eastAsia" w:asciiTheme="minorEastAsia" w:hAnsiTheme="minorEastAsia" w:eastAsiaTheme="minorEastAsia" w:cstheme="minorEastAsia"/>
          <w:szCs w:val="24"/>
          <w:shd w:val="clear" w:color="auto" w:fill="FFFFFF"/>
          <w:lang w:val="en-US" w:eastAsia="zh-CN"/>
        </w:rPr>
        <w:t>10</w:t>
      </w:r>
      <w:r>
        <w:rPr>
          <w:rFonts w:hint="eastAsia" w:asciiTheme="minorEastAsia" w:hAnsiTheme="minorEastAsia" w:eastAsiaTheme="minorEastAsia" w:cstheme="minorEastAsia"/>
          <w:szCs w:val="24"/>
          <w:shd w:val="clear" w:color="auto" w:fill="FFFFFF"/>
        </w:rPr>
        <w:t xml:space="preserve"> 月 </w:t>
      </w:r>
      <w:r>
        <w:rPr>
          <w:rFonts w:hint="eastAsia" w:asciiTheme="minorEastAsia" w:hAnsiTheme="minorEastAsia" w:eastAsiaTheme="minorEastAsia" w:cstheme="minorEastAsia"/>
          <w:szCs w:val="24"/>
          <w:shd w:val="clear" w:color="auto" w:fill="FFFFFF"/>
          <w:lang w:val="en-US" w:eastAsia="zh-CN"/>
        </w:rPr>
        <w:t>21</w:t>
      </w:r>
      <w:r>
        <w:rPr>
          <w:rFonts w:hint="eastAsia" w:asciiTheme="minorEastAsia" w:hAnsiTheme="minorEastAsia" w:eastAsiaTheme="minorEastAsia" w:cstheme="minorEastAsia"/>
          <w:szCs w:val="24"/>
          <w:shd w:val="clear" w:color="auto" w:fill="FFFFFF"/>
        </w:rPr>
        <w:t xml:space="preserve"> 日至2024年 </w:t>
      </w:r>
      <w:r>
        <w:rPr>
          <w:rFonts w:hint="eastAsia" w:asciiTheme="minorEastAsia" w:hAnsiTheme="minorEastAsia" w:eastAsiaTheme="minorEastAsia" w:cstheme="minorEastAsia"/>
          <w:szCs w:val="24"/>
          <w:shd w:val="clear" w:color="auto" w:fill="FFFFFF"/>
          <w:lang w:val="en-US" w:eastAsia="zh-CN"/>
        </w:rPr>
        <w:t>11</w:t>
      </w:r>
      <w:r>
        <w:rPr>
          <w:rFonts w:hint="eastAsia" w:asciiTheme="minorEastAsia" w:hAnsiTheme="minorEastAsia" w:eastAsiaTheme="minorEastAsia" w:cstheme="minorEastAsia"/>
          <w:szCs w:val="24"/>
          <w:shd w:val="clear" w:color="auto" w:fill="FFFFFF"/>
        </w:rPr>
        <w:t xml:space="preserve"> 月 </w:t>
      </w:r>
      <w:r>
        <w:rPr>
          <w:rFonts w:hint="eastAsia" w:asciiTheme="minorEastAsia" w:hAnsiTheme="minorEastAsia" w:eastAsiaTheme="minorEastAsia" w:cstheme="minorEastAsia"/>
          <w:szCs w:val="24"/>
          <w:shd w:val="clear" w:color="auto" w:fill="FFFFFF"/>
          <w:lang w:val="en-US" w:eastAsia="zh-CN"/>
        </w:rPr>
        <w:t>1</w:t>
      </w:r>
      <w:r>
        <w:rPr>
          <w:rFonts w:hint="eastAsia" w:asciiTheme="minorEastAsia" w:hAnsiTheme="minorEastAsia" w:eastAsiaTheme="minorEastAsia" w:cstheme="minorEastAsia"/>
          <w:szCs w:val="24"/>
          <w:shd w:val="clear" w:color="auto" w:fill="FFFFFF"/>
        </w:rPr>
        <w:t xml:space="preserve"> 日</w:t>
      </w:r>
    </w:p>
    <w:p w14:paraId="2588623C">
      <w:pPr>
        <w:pStyle w:val="17"/>
        <w:shd w:val="clear" w:color="auto" w:fill="FFFFFF"/>
        <w:spacing w:line="360" w:lineRule="auto"/>
        <w:ind w:left="0"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地点：“如东县限额交易网-项目投标方 ”</w:t>
      </w:r>
    </w:p>
    <w:p w14:paraId="7C2D553C">
      <w:pPr>
        <w:pStyle w:val="17"/>
        <w:shd w:val="clear" w:color="auto" w:fill="FFFFFF"/>
        <w:spacing w:line="360" w:lineRule="auto"/>
        <w:ind w:left="0"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方式：凡有意参与投标的供应商须登录“如东县限额交易网-项目投标方 ”，并自行下载磋商文件。</w:t>
      </w:r>
    </w:p>
    <w:p w14:paraId="722BDCE6">
      <w:pPr>
        <w:pStyle w:val="17"/>
        <w:spacing w:line="360" w:lineRule="auto"/>
        <w:ind w:left="0" w:firstLine="480"/>
        <w:rPr>
          <w:rFonts w:hint="eastAsia" w:asciiTheme="minorEastAsia" w:hAnsiTheme="minorEastAsia" w:eastAsiaTheme="minorEastAsia" w:cstheme="minorEastAsia"/>
          <w:szCs w:val="24"/>
        </w:rPr>
      </w:pPr>
      <w:r>
        <w:rPr>
          <w:rStyle w:val="23"/>
          <w:rFonts w:hint="eastAsia" w:asciiTheme="minorEastAsia" w:hAnsiTheme="minorEastAsia" w:eastAsiaTheme="minorEastAsia" w:cstheme="minorEastAsia"/>
          <w:szCs w:val="24"/>
        </w:rPr>
        <w:t>四、提交响应文件截止时间、开标时间和地点</w:t>
      </w:r>
    </w:p>
    <w:p w14:paraId="17C6585F">
      <w:pPr>
        <w:pStyle w:val="17"/>
        <w:spacing w:line="360" w:lineRule="auto"/>
        <w:ind w:left="0"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提交响应文件截止时间、开标时间</w:t>
      </w:r>
      <w:r>
        <w:rPr>
          <w:rStyle w:val="23"/>
          <w:rFonts w:hint="eastAsia" w:asciiTheme="minorEastAsia" w:hAnsiTheme="minorEastAsia" w:eastAsiaTheme="minorEastAsia" w:cstheme="minorEastAsia"/>
          <w:szCs w:val="24"/>
        </w:rPr>
        <w:t xml:space="preserve">：2024年 </w:t>
      </w:r>
      <w:r>
        <w:rPr>
          <w:rStyle w:val="23"/>
          <w:rFonts w:hint="eastAsia" w:asciiTheme="minorEastAsia" w:hAnsiTheme="minorEastAsia" w:eastAsiaTheme="minorEastAsia" w:cstheme="minorEastAsia"/>
          <w:szCs w:val="24"/>
          <w:lang w:val="en-US" w:eastAsia="zh-CN"/>
        </w:rPr>
        <w:t>11</w:t>
      </w:r>
      <w:r>
        <w:rPr>
          <w:rStyle w:val="23"/>
          <w:rFonts w:hint="eastAsia" w:asciiTheme="minorEastAsia" w:hAnsiTheme="minorEastAsia" w:eastAsiaTheme="minorEastAsia" w:cstheme="minorEastAsia"/>
          <w:szCs w:val="24"/>
        </w:rPr>
        <w:t xml:space="preserve">  月  </w:t>
      </w:r>
      <w:r>
        <w:rPr>
          <w:rStyle w:val="23"/>
          <w:rFonts w:hint="eastAsia" w:asciiTheme="minorEastAsia" w:hAnsiTheme="minorEastAsia" w:eastAsiaTheme="minorEastAsia" w:cstheme="minorEastAsia"/>
          <w:szCs w:val="24"/>
          <w:lang w:val="en-US" w:eastAsia="zh-CN"/>
        </w:rPr>
        <w:t>1</w:t>
      </w:r>
      <w:r>
        <w:rPr>
          <w:rStyle w:val="23"/>
          <w:rFonts w:hint="eastAsia" w:asciiTheme="minorEastAsia" w:hAnsiTheme="minorEastAsia" w:eastAsiaTheme="minorEastAsia" w:cstheme="minorEastAsia"/>
          <w:szCs w:val="24"/>
        </w:rPr>
        <w:t xml:space="preserve">  日下午14时30分</w:t>
      </w:r>
      <w:r>
        <w:rPr>
          <w:rFonts w:hint="eastAsia" w:asciiTheme="minorEastAsia" w:hAnsiTheme="minorEastAsia" w:eastAsiaTheme="minorEastAsia" w:cstheme="minorEastAsia"/>
          <w:szCs w:val="24"/>
          <w:shd w:val="clear" w:color="auto" w:fill="FFFFFF"/>
        </w:rPr>
        <w:t>（北京时间）</w:t>
      </w:r>
      <w:r>
        <w:rPr>
          <w:rFonts w:hint="eastAsia" w:asciiTheme="minorEastAsia" w:hAnsiTheme="minorEastAsia" w:eastAsiaTheme="minorEastAsia" w:cstheme="minorEastAsia"/>
          <w:szCs w:val="24"/>
        </w:rPr>
        <w:t>。</w:t>
      </w:r>
    </w:p>
    <w:p w14:paraId="2F38EEE2">
      <w:pPr>
        <w:pStyle w:val="17"/>
        <w:spacing w:line="360" w:lineRule="auto"/>
        <w:ind w:left="0"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地点：本项目采用不见面招投标，开标当日，投标人不必抵达开标现场，仅需在任意地点通过“</w:t>
      </w:r>
      <w:r>
        <w:rPr>
          <w:rFonts w:hint="eastAsia" w:asciiTheme="minorEastAsia" w:hAnsiTheme="minorEastAsia" w:eastAsiaTheme="minorEastAsia" w:cstheme="minorEastAsia"/>
          <w:szCs w:val="24"/>
        </w:rPr>
        <w:t xml:space="preserve">如东县限额交易网-项目投标方 </w:t>
      </w:r>
      <w:r>
        <w:rPr>
          <w:rFonts w:hint="eastAsia" w:asciiTheme="minorEastAsia" w:hAnsiTheme="minorEastAsia" w:eastAsiaTheme="minorEastAsia" w:cstheme="minorEastAsia"/>
          <w:szCs w:val="24"/>
          <w:shd w:val="clear" w:color="auto" w:fill="FFFFFF"/>
        </w:rPr>
        <w:t>”参加开标会议。</w:t>
      </w:r>
    </w:p>
    <w:p w14:paraId="36311AAF">
      <w:pPr>
        <w:pStyle w:val="17"/>
        <w:spacing w:line="360" w:lineRule="auto"/>
        <w:ind w:left="0" w:firstLine="480"/>
        <w:rPr>
          <w:rFonts w:hint="eastAsia" w:asciiTheme="minorEastAsia" w:hAnsiTheme="minorEastAsia" w:eastAsiaTheme="minorEastAsia" w:cstheme="minorEastAsia"/>
          <w:szCs w:val="24"/>
        </w:rPr>
      </w:pPr>
      <w:r>
        <w:rPr>
          <w:rStyle w:val="23"/>
          <w:rFonts w:hint="eastAsia" w:asciiTheme="minorEastAsia" w:hAnsiTheme="minorEastAsia" w:eastAsiaTheme="minorEastAsia" w:cstheme="minorEastAsia"/>
          <w:szCs w:val="24"/>
        </w:rPr>
        <w:t>五、开启</w:t>
      </w:r>
    </w:p>
    <w:p w14:paraId="14D98976">
      <w:pPr>
        <w:pStyle w:val="17"/>
        <w:spacing w:line="360" w:lineRule="auto"/>
        <w:ind w:left="0" w:firstLine="480"/>
        <w:rPr>
          <w:szCs w:val="24"/>
        </w:rPr>
      </w:pPr>
      <w:r>
        <w:rPr>
          <w:rFonts w:hint="eastAsia" w:asciiTheme="minorEastAsia" w:hAnsiTheme="minorEastAsia" w:eastAsiaTheme="minorEastAsia" w:cstheme="minorEastAsia"/>
          <w:szCs w:val="24"/>
        </w:rPr>
        <w:t>时间：</w:t>
      </w:r>
      <w:r>
        <w:rPr>
          <w:rStyle w:val="23"/>
          <w:rFonts w:hint="eastAsia" w:asciiTheme="minorEastAsia" w:hAnsiTheme="minorEastAsia" w:eastAsiaTheme="minorEastAsia" w:cstheme="minorEastAsia"/>
          <w:szCs w:val="24"/>
        </w:rPr>
        <w:t xml:space="preserve">2024年 </w:t>
      </w:r>
      <w:r>
        <w:rPr>
          <w:rStyle w:val="23"/>
          <w:rFonts w:hint="eastAsia" w:asciiTheme="minorEastAsia" w:hAnsiTheme="minorEastAsia" w:eastAsiaTheme="minorEastAsia" w:cstheme="minorEastAsia"/>
          <w:szCs w:val="24"/>
          <w:lang w:val="en-US" w:eastAsia="zh-CN"/>
        </w:rPr>
        <w:t>11</w:t>
      </w:r>
      <w:r>
        <w:rPr>
          <w:rStyle w:val="23"/>
          <w:rFonts w:hint="eastAsia" w:asciiTheme="minorEastAsia" w:hAnsiTheme="minorEastAsia" w:eastAsiaTheme="minorEastAsia" w:cstheme="minorEastAsia"/>
          <w:szCs w:val="24"/>
        </w:rPr>
        <w:t xml:space="preserve"> 月  </w:t>
      </w:r>
      <w:r>
        <w:rPr>
          <w:rStyle w:val="23"/>
          <w:rFonts w:hint="eastAsia" w:asciiTheme="minorEastAsia" w:hAnsiTheme="minorEastAsia" w:eastAsiaTheme="minorEastAsia" w:cstheme="minorEastAsia"/>
          <w:szCs w:val="24"/>
          <w:lang w:val="en-US" w:eastAsia="zh-CN"/>
        </w:rPr>
        <w:t>1</w:t>
      </w:r>
      <w:r>
        <w:rPr>
          <w:rStyle w:val="23"/>
          <w:rFonts w:hint="eastAsia" w:asciiTheme="minorEastAsia" w:hAnsiTheme="minorEastAsia" w:eastAsiaTheme="minorEastAsia" w:cstheme="minorEastAsia"/>
          <w:szCs w:val="24"/>
        </w:rPr>
        <w:t xml:space="preserve">  日下午14时30分</w:t>
      </w:r>
      <w:r>
        <w:rPr>
          <w:rFonts w:hint="eastAsia" w:asciiTheme="minorEastAsia" w:hAnsiTheme="minorEastAsia" w:eastAsiaTheme="minorEastAsia" w:cstheme="minorEastAsia"/>
          <w:szCs w:val="24"/>
        </w:rPr>
        <w:t>（北京时间）。</w:t>
      </w:r>
    </w:p>
    <w:p w14:paraId="787B3E31">
      <w:pPr>
        <w:pStyle w:val="17"/>
        <w:spacing w:line="360" w:lineRule="auto"/>
        <w:ind w:left="0" w:firstLine="480"/>
        <w:rPr>
          <w:szCs w:val="24"/>
        </w:rPr>
      </w:pPr>
      <w:r>
        <w:rPr>
          <w:rFonts w:hint="eastAsia" w:ascii="宋体" w:hAnsi="宋体" w:cs="宋体"/>
          <w:szCs w:val="24"/>
        </w:rPr>
        <w:t>地点：</w:t>
      </w:r>
      <w:r>
        <w:rPr>
          <w:rFonts w:hint="eastAsia" w:ascii="宋体" w:hAnsi="宋体" w:cs="宋体"/>
          <w:szCs w:val="24"/>
          <w:shd w:val="clear" w:color="auto" w:fill="FFFFFF"/>
        </w:rPr>
        <w:t>本项目采用不见面招投标，开标当日，投标人不必抵达开标现场，仅需在任意地点通过“</w:t>
      </w:r>
      <w:r>
        <w:rPr>
          <w:rFonts w:hint="eastAsia" w:ascii="宋体" w:hAnsi="宋体" w:cs="宋体"/>
          <w:szCs w:val="24"/>
        </w:rPr>
        <w:t xml:space="preserve">如东县限额交易网-项目投标方 </w:t>
      </w:r>
      <w:r>
        <w:rPr>
          <w:rFonts w:hint="eastAsia" w:ascii="宋体" w:hAnsi="宋体" w:cs="宋体"/>
          <w:szCs w:val="24"/>
          <w:shd w:val="clear" w:color="auto" w:fill="FFFFFF"/>
        </w:rPr>
        <w:t>”参加开标会议</w:t>
      </w:r>
      <w:r>
        <w:rPr>
          <w:rFonts w:hint="eastAsia" w:ascii="宋体" w:hAnsi="宋体" w:cs="宋体"/>
          <w:szCs w:val="24"/>
        </w:rPr>
        <w:t>。</w:t>
      </w:r>
    </w:p>
    <w:p w14:paraId="2B0DE533">
      <w:pPr>
        <w:pStyle w:val="17"/>
        <w:spacing w:line="360" w:lineRule="auto"/>
        <w:ind w:left="0" w:firstLine="480"/>
        <w:rPr>
          <w:szCs w:val="24"/>
        </w:rPr>
      </w:pPr>
      <w:r>
        <w:rPr>
          <w:rStyle w:val="23"/>
          <w:rFonts w:hint="eastAsia" w:ascii="宋体" w:hAnsi="宋体" w:cs="宋体"/>
          <w:szCs w:val="24"/>
        </w:rPr>
        <w:t>六、公告期限</w:t>
      </w:r>
    </w:p>
    <w:p w14:paraId="4F1E91B2">
      <w:pPr>
        <w:pStyle w:val="17"/>
        <w:spacing w:line="360" w:lineRule="auto"/>
        <w:ind w:left="0" w:firstLine="480"/>
        <w:rPr>
          <w:szCs w:val="24"/>
        </w:rPr>
      </w:pPr>
      <w:r>
        <w:rPr>
          <w:rFonts w:hint="eastAsia" w:ascii="宋体" w:hAnsi="宋体" w:cs="宋体"/>
          <w:szCs w:val="24"/>
        </w:rPr>
        <w:t>自本公告发布之日起5个工作日。</w:t>
      </w:r>
    </w:p>
    <w:p w14:paraId="62C82E08">
      <w:pPr>
        <w:pStyle w:val="17"/>
        <w:spacing w:line="360" w:lineRule="auto"/>
        <w:ind w:left="0" w:firstLine="480"/>
        <w:rPr>
          <w:szCs w:val="24"/>
        </w:rPr>
      </w:pPr>
      <w:r>
        <w:rPr>
          <w:rStyle w:val="23"/>
          <w:rFonts w:hint="eastAsia" w:ascii="宋体" w:hAnsi="宋体" w:cs="宋体"/>
          <w:szCs w:val="24"/>
        </w:rPr>
        <w:t>七、其他补充事宜</w:t>
      </w:r>
    </w:p>
    <w:p w14:paraId="349AD6FA">
      <w:pPr>
        <w:pStyle w:val="17"/>
        <w:spacing w:line="360" w:lineRule="auto"/>
        <w:ind w:left="0" w:firstLine="480"/>
        <w:rPr>
          <w:szCs w:val="24"/>
        </w:rPr>
      </w:pPr>
      <w:r>
        <w:rPr>
          <w:rFonts w:hint="eastAsia" w:ascii="宋体" w:hAnsi="宋体" w:cs="宋体"/>
          <w:szCs w:val="24"/>
        </w:rPr>
        <w:t>1、投标保证金：本项目不收取投标保证金。磋商文件中涉及投标保证金的事项，均按免收投标保证金执行。</w:t>
      </w:r>
    </w:p>
    <w:p w14:paraId="33360824">
      <w:pPr>
        <w:pStyle w:val="17"/>
        <w:spacing w:line="360" w:lineRule="auto"/>
        <w:ind w:left="0" w:firstLine="480"/>
        <w:rPr>
          <w:szCs w:val="24"/>
        </w:rPr>
      </w:pPr>
      <w:r>
        <w:rPr>
          <w:rFonts w:hint="eastAsia" w:ascii="宋体" w:hAnsi="宋体" w:cs="宋体"/>
          <w:szCs w:val="24"/>
        </w:rPr>
        <w:t>2、对项目部分（供应商资格要求、项目要求、评分标准）的询问、质疑向采购人指出，由采购人答复；对项目响应文件的其他部分询问、质疑向代理机构指出或采购人指出。</w:t>
      </w:r>
    </w:p>
    <w:p w14:paraId="3AE32651">
      <w:pPr>
        <w:pStyle w:val="17"/>
        <w:spacing w:line="360" w:lineRule="auto"/>
        <w:ind w:left="0" w:firstLine="480"/>
        <w:rPr>
          <w:szCs w:val="24"/>
        </w:rPr>
      </w:pPr>
      <w:r>
        <w:rPr>
          <w:rFonts w:hint="eastAsia" w:ascii="宋体" w:hAnsi="宋体" w:cs="宋体"/>
          <w:szCs w:val="24"/>
        </w:rPr>
        <w:t>3、特别提醒：</w:t>
      </w:r>
    </w:p>
    <w:p w14:paraId="3741D814">
      <w:pPr>
        <w:pStyle w:val="17"/>
        <w:spacing w:line="360" w:lineRule="auto"/>
        <w:ind w:left="0" w:firstLine="480"/>
        <w:rPr>
          <w:szCs w:val="24"/>
        </w:rPr>
      </w:pPr>
      <w:r>
        <w:rPr>
          <w:rFonts w:hint="eastAsia" w:ascii="宋体" w:hAnsi="宋体" w:cs="宋体"/>
          <w:szCs w:val="24"/>
        </w:rPr>
        <w:t>3.1.本项目投标人的资格审查采用资格后审方式，采购人不组织投标人对现场的集中踏勘，请各投标人自行踏勘现场。凡有意参加投标者须登陆“如东县限额交易网-项目投标方 ”下载采购文件等。</w:t>
      </w:r>
    </w:p>
    <w:p w14:paraId="740B4B42">
      <w:pPr>
        <w:pStyle w:val="17"/>
        <w:spacing w:line="360" w:lineRule="auto"/>
        <w:ind w:left="0" w:firstLine="480"/>
        <w:rPr>
          <w:szCs w:val="24"/>
        </w:rPr>
      </w:pPr>
      <w:r>
        <w:rPr>
          <w:rFonts w:hint="eastAsia" w:ascii="宋体" w:hAnsi="宋体" w:cs="宋体"/>
          <w:szCs w:val="24"/>
        </w:rPr>
        <w:t>3.2.本项目采用不见面招投标，开标当日，投标人不必抵达开标现场，仅需在任意地点通过“如东县限额交易网-项目投标方 ”参加开标会议（不见面开标的系统网址详见磋商文件第二部分）并在投标截止时间后需要进行响应文件的解密，并根据需要使用聊天室与现场招标人进行互动交流、澄清、提疑以及文件传送等活动。投标人须在投标截止前按照磋商文件要求将响应文件上传至系统内相应位置。公共资源交易平台技术服务联系电话：0513-84800088。</w:t>
      </w:r>
    </w:p>
    <w:p w14:paraId="70531491">
      <w:pPr>
        <w:pStyle w:val="17"/>
        <w:spacing w:line="360" w:lineRule="auto"/>
        <w:ind w:left="0" w:firstLine="480"/>
        <w:rPr>
          <w:szCs w:val="24"/>
        </w:rPr>
      </w:pPr>
      <w:r>
        <w:rPr>
          <w:rFonts w:hint="eastAsia" w:ascii="宋体" w:hAnsi="宋体" w:cs="宋体"/>
          <w:szCs w:val="24"/>
        </w:rPr>
        <w:t>3.3.解密时间：投标人解密限定在采购人确定解密时间后30分钟内完成（如因投标人个人原因，未在限定时间内完成解密的，将退回其响应文件，作无效投标处理）。</w:t>
      </w:r>
    </w:p>
    <w:p w14:paraId="3E48E69A">
      <w:pPr>
        <w:pStyle w:val="17"/>
        <w:spacing w:line="360" w:lineRule="auto"/>
        <w:ind w:left="0" w:firstLine="480"/>
        <w:rPr>
          <w:szCs w:val="24"/>
        </w:rPr>
      </w:pPr>
      <w:r>
        <w:rPr>
          <w:rFonts w:hint="eastAsia" w:ascii="宋体" w:hAnsi="宋体" w:cs="宋体"/>
          <w:szCs w:val="24"/>
        </w:rPr>
        <w:t>3.4.本项目采购文件及相关招标资料必须自行登录如东县限额交易网的项目投标方业务系统进行网上报名（即下载本项目采购文件及相关招标资料），否则拒收响应文件。</w:t>
      </w:r>
    </w:p>
    <w:p w14:paraId="0DC37964">
      <w:pPr>
        <w:pStyle w:val="17"/>
        <w:spacing w:line="360" w:lineRule="auto"/>
        <w:ind w:left="0" w:firstLine="480"/>
        <w:rPr>
          <w:rFonts w:hint="eastAsia" w:ascii="宋体" w:hAnsi="宋体" w:cs="宋体"/>
          <w:szCs w:val="24"/>
        </w:rPr>
      </w:pPr>
      <w:r>
        <w:rPr>
          <w:rFonts w:hint="eastAsia" w:ascii="宋体" w:hAnsi="宋体" w:cs="宋体"/>
          <w:szCs w:val="24"/>
        </w:rPr>
        <w:t>3.5.本工程投标时不需要提供纸质响应文件。中标单位在确定中标后，必须提供肆份使用系统打印出来（加盖公章）的完整的响应文件交招标代理（响应文件份数：正本壹份，副本叁份）。</w:t>
      </w:r>
    </w:p>
    <w:p w14:paraId="1F14A3D5">
      <w:pPr>
        <w:pStyle w:val="17"/>
        <w:spacing w:line="360" w:lineRule="auto"/>
        <w:ind w:left="0" w:firstLine="480"/>
        <w:rPr>
          <w:rFonts w:hint="eastAsia" w:ascii="宋体" w:hAnsi="宋体" w:cs="宋体"/>
          <w:szCs w:val="24"/>
        </w:rPr>
      </w:pPr>
      <w:r>
        <w:rPr>
          <w:rFonts w:hint="eastAsia" w:ascii="宋体" w:hAnsi="宋体" w:cs="宋体"/>
          <w:b/>
          <w:bCs/>
          <w:szCs w:val="24"/>
        </w:rPr>
        <w:t>八、对本次招标提出询问，请按以下方式联系。</w:t>
      </w:r>
    </w:p>
    <w:p w14:paraId="75DDE630">
      <w:pPr>
        <w:pStyle w:val="17"/>
        <w:spacing w:line="360" w:lineRule="auto"/>
        <w:ind w:left="0" w:firstLine="480"/>
        <w:jc w:val="left"/>
        <w:rPr>
          <w:rFonts w:hint="eastAsia" w:ascii="宋体" w:hAnsi="宋体" w:cs="宋体"/>
          <w:szCs w:val="24"/>
        </w:rPr>
      </w:pPr>
      <w:r>
        <w:rPr>
          <w:rFonts w:hint="eastAsia" w:ascii="宋体" w:hAnsi="宋体" w:cs="宋体"/>
          <w:szCs w:val="24"/>
        </w:rPr>
        <w:t>1.采购人信息</w:t>
      </w:r>
    </w:p>
    <w:p w14:paraId="5CD4A809">
      <w:pPr>
        <w:pStyle w:val="17"/>
        <w:spacing w:line="360" w:lineRule="auto"/>
        <w:ind w:left="0" w:firstLine="480"/>
        <w:jc w:val="left"/>
        <w:rPr>
          <w:rFonts w:hint="eastAsia" w:ascii="宋体" w:hAnsi="宋体" w:cs="宋体"/>
          <w:szCs w:val="24"/>
        </w:rPr>
      </w:pPr>
      <w:r>
        <w:rPr>
          <w:rFonts w:hint="eastAsia" w:ascii="宋体" w:hAnsi="宋体" w:cs="宋体"/>
          <w:szCs w:val="24"/>
        </w:rPr>
        <w:t xml:space="preserve">名称：如东县人民医院     </w:t>
      </w:r>
    </w:p>
    <w:p w14:paraId="653F50FC">
      <w:pPr>
        <w:pStyle w:val="17"/>
        <w:spacing w:line="360" w:lineRule="auto"/>
        <w:ind w:left="0" w:firstLine="480"/>
        <w:jc w:val="left"/>
        <w:rPr>
          <w:rFonts w:hint="eastAsia" w:ascii="宋体" w:hAnsi="宋体" w:cs="宋体"/>
          <w:szCs w:val="24"/>
        </w:rPr>
      </w:pPr>
      <w:r>
        <w:rPr>
          <w:rFonts w:hint="eastAsia" w:ascii="宋体" w:hAnsi="宋体" w:cs="宋体"/>
          <w:szCs w:val="24"/>
        </w:rPr>
        <w:t>地址： 如东县城中街道江海西路</w:t>
      </w:r>
    </w:p>
    <w:p w14:paraId="4912CD15">
      <w:pPr>
        <w:pStyle w:val="17"/>
        <w:spacing w:line="360" w:lineRule="auto"/>
        <w:ind w:left="0" w:firstLine="480"/>
        <w:jc w:val="left"/>
        <w:rPr>
          <w:rFonts w:hint="eastAsia" w:ascii="宋体" w:hAnsi="宋体" w:cs="宋体"/>
          <w:szCs w:val="24"/>
        </w:rPr>
      </w:pPr>
      <w:r>
        <w:rPr>
          <w:rFonts w:hint="eastAsia" w:ascii="宋体" w:hAnsi="宋体" w:cs="宋体"/>
          <w:szCs w:val="24"/>
        </w:rPr>
        <w:t xml:space="preserve">联系方式：0513-84118711 </w:t>
      </w:r>
    </w:p>
    <w:p w14:paraId="583DD215">
      <w:pPr>
        <w:pStyle w:val="17"/>
        <w:spacing w:line="360" w:lineRule="auto"/>
        <w:ind w:left="0" w:firstLine="480"/>
        <w:jc w:val="left"/>
        <w:rPr>
          <w:rFonts w:hint="eastAsia" w:ascii="宋体" w:hAnsi="宋体" w:cs="宋体"/>
          <w:szCs w:val="24"/>
        </w:rPr>
      </w:pPr>
      <w:r>
        <w:rPr>
          <w:rFonts w:hint="eastAsia" w:ascii="宋体" w:hAnsi="宋体" w:cs="宋体"/>
          <w:szCs w:val="24"/>
          <w:lang w:val="en-US" w:eastAsia="zh-CN"/>
        </w:rPr>
        <w:t>2</w:t>
      </w:r>
      <w:r>
        <w:rPr>
          <w:rFonts w:hint="eastAsia" w:ascii="宋体" w:hAnsi="宋体" w:cs="宋体"/>
          <w:szCs w:val="24"/>
        </w:rPr>
        <w:t>.项目联系方式</w:t>
      </w:r>
    </w:p>
    <w:p w14:paraId="56B1608B">
      <w:pPr>
        <w:pStyle w:val="17"/>
        <w:spacing w:line="360" w:lineRule="auto"/>
        <w:ind w:left="0" w:firstLine="480"/>
        <w:jc w:val="left"/>
        <w:rPr>
          <w:rFonts w:hint="eastAsia" w:ascii="宋体" w:hAnsi="宋体" w:eastAsia="宋体" w:cs="宋体"/>
          <w:szCs w:val="24"/>
          <w:lang w:eastAsia="zh-CN"/>
        </w:rPr>
      </w:pPr>
      <w:r>
        <w:rPr>
          <w:rFonts w:hint="eastAsia" w:ascii="宋体" w:hAnsi="宋体" w:cs="宋体"/>
          <w:szCs w:val="24"/>
        </w:rPr>
        <w:t xml:space="preserve">项目联系人： </w:t>
      </w:r>
      <w:r>
        <w:rPr>
          <w:rFonts w:hint="eastAsia" w:ascii="宋体" w:hAnsi="宋体" w:cs="宋体"/>
          <w:szCs w:val="24"/>
          <w:lang w:eastAsia="zh-CN"/>
        </w:rPr>
        <w:t>徐海锋</w:t>
      </w:r>
    </w:p>
    <w:p w14:paraId="6DD1AA6E">
      <w:pPr>
        <w:pStyle w:val="17"/>
        <w:spacing w:line="360" w:lineRule="auto"/>
        <w:ind w:left="0" w:firstLine="480"/>
        <w:rPr>
          <w:rFonts w:hint="default" w:ascii="宋体" w:hAnsi="宋体" w:cs="宋体"/>
          <w:szCs w:val="24"/>
          <w:lang w:val="en-US"/>
        </w:rPr>
      </w:pPr>
      <w:r>
        <w:rPr>
          <w:rFonts w:hint="eastAsia" w:ascii="宋体" w:hAnsi="宋体" w:cs="宋体"/>
          <w:szCs w:val="24"/>
        </w:rPr>
        <w:t>联系电话： 0513-84118</w:t>
      </w:r>
      <w:r>
        <w:rPr>
          <w:rFonts w:hint="eastAsia" w:ascii="宋体" w:hAnsi="宋体" w:cs="宋体"/>
          <w:szCs w:val="24"/>
          <w:lang w:val="en-US" w:eastAsia="zh-CN"/>
        </w:rPr>
        <w:t>336</w:t>
      </w:r>
    </w:p>
    <w:p w14:paraId="1F843A6B">
      <w:pPr>
        <w:pStyle w:val="17"/>
        <w:spacing w:line="360" w:lineRule="auto"/>
        <w:ind w:left="0" w:firstLine="480"/>
        <w:rPr>
          <w:rFonts w:hint="eastAsia" w:ascii="宋体" w:hAnsi="宋体" w:cs="宋体"/>
          <w:szCs w:val="24"/>
        </w:rPr>
      </w:pPr>
    </w:p>
    <w:p w14:paraId="2EC1E979">
      <w:pPr>
        <w:pStyle w:val="17"/>
        <w:spacing w:line="360" w:lineRule="auto"/>
        <w:ind w:left="0" w:firstLine="480"/>
        <w:rPr>
          <w:rFonts w:hint="eastAsia" w:ascii="宋体" w:hAnsi="宋体" w:cs="宋体"/>
          <w:szCs w:val="24"/>
        </w:rPr>
      </w:pPr>
    </w:p>
    <w:p w14:paraId="60268F30">
      <w:pPr>
        <w:pStyle w:val="17"/>
        <w:spacing w:line="360" w:lineRule="auto"/>
        <w:ind w:left="0" w:firstLine="480"/>
        <w:rPr>
          <w:rFonts w:hint="eastAsia" w:ascii="宋体" w:hAnsi="宋体" w:cs="宋体"/>
          <w:szCs w:val="24"/>
        </w:rPr>
      </w:pPr>
    </w:p>
    <w:p w14:paraId="4250022C">
      <w:pPr>
        <w:pStyle w:val="17"/>
        <w:spacing w:line="360" w:lineRule="auto"/>
        <w:ind w:left="0" w:firstLine="480"/>
        <w:rPr>
          <w:rFonts w:hint="eastAsia" w:ascii="宋体" w:hAnsi="宋体" w:cs="宋体"/>
          <w:szCs w:val="24"/>
        </w:rPr>
      </w:pPr>
    </w:p>
    <w:p w14:paraId="127034BE">
      <w:pPr>
        <w:pStyle w:val="17"/>
        <w:spacing w:line="360" w:lineRule="auto"/>
        <w:ind w:left="0" w:firstLine="480"/>
        <w:rPr>
          <w:rFonts w:hint="eastAsia" w:ascii="宋体" w:hAnsi="宋体" w:cs="宋体"/>
          <w:szCs w:val="24"/>
        </w:rPr>
      </w:pPr>
    </w:p>
    <w:p w14:paraId="75A41FEE">
      <w:pPr>
        <w:pStyle w:val="17"/>
        <w:spacing w:line="360" w:lineRule="auto"/>
        <w:ind w:left="0" w:firstLine="480"/>
        <w:rPr>
          <w:rFonts w:hint="eastAsia" w:ascii="宋体" w:hAnsi="宋体" w:cs="宋体"/>
          <w:szCs w:val="24"/>
        </w:rPr>
      </w:pPr>
    </w:p>
    <w:p w14:paraId="3469F588">
      <w:pPr>
        <w:pStyle w:val="17"/>
        <w:spacing w:line="360" w:lineRule="auto"/>
        <w:ind w:left="0" w:firstLine="480"/>
        <w:rPr>
          <w:rFonts w:hint="eastAsia" w:ascii="宋体" w:hAnsi="宋体" w:cs="宋体"/>
          <w:szCs w:val="24"/>
        </w:rPr>
      </w:pPr>
    </w:p>
    <w:p w14:paraId="5FFD36D9">
      <w:pPr>
        <w:pStyle w:val="17"/>
        <w:spacing w:line="360" w:lineRule="auto"/>
        <w:ind w:left="0" w:firstLine="480"/>
        <w:rPr>
          <w:rFonts w:hint="eastAsia" w:ascii="宋体" w:hAnsi="宋体" w:cs="宋体"/>
          <w:szCs w:val="24"/>
        </w:rPr>
      </w:pPr>
    </w:p>
    <w:p w14:paraId="102E17E0">
      <w:pPr>
        <w:pStyle w:val="17"/>
        <w:spacing w:line="360" w:lineRule="auto"/>
        <w:ind w:left="0" w:firstLine="480"/>
        <w:rPr>
          <w:rFonts w:hint="eastAsia" w:ascii="宋体" w:hAnsi="宋体" w:cs="宋体"/>
          <w:szCs w:val="24"/>
        </w:rPr>
      </w:pPr>
    </w:p>
    <w:p w14:paraId="53569536">
      <w:pPr>
        <w:pStyle w:val="17"/>
        <w:spacing w:line="360" w:lineRule="auto"/>
        <w:ind w:left="0" w:firstLine="480"/>
        <w:rPr>
          <w:rFonts w:hint="eastAsia" w:ascii="宋体" w:hAnsi="宋体" w:cs="宋体"/>
          <w:szCs w:val="24"/>
        </w:rPr>
      </w:pPr>
    </w:p>
    <w:p w14:paraId="3BA7123B">
      <w:pPr>
        <w:pStyle w:val="17"/>
        <w:spacing w:line="360" w:lineRule="auto"/>
        <w:ind w:left="0" w:firstLine="480"/>
        <w:rPr>
          <w:rFonts w:hint="eastAsia" w:ascii="宋体" w:hAnsi="宋体" w:cs="宋体"/>
          <w:szCs w:val="24"/>
        </w:rPr>
      </w:pPr>
    </w:p>
    <w:p w14:paraId="13734491">
      <w:pPr>
        <w:pStyle w:val="17"/>
        <w:spacing w:line="360" w:lineRule="auto"/>
        <w:ind w:left="0" w:firstLine="480"/>
        <w:rPr>
          <w:rFonts w:hint="eastAsia" w:ascii="宋体" w:hAnsi="宋体" w:cs="宋体"/>
          <w:szCs w:val="24"/>
        </w:rPr>
      </w:pPr>
    </w:p>
    <w:p w14:paraId="481A2E11">
      <w:pPr>
        <w:pStyle w:val="17"/>
        <w:spacing w:line="360" w:lineRule="auto"/>
        <w:ind w:left="0" w:firstLine="480"/>
        <w:rPr>
          <w:rFonts w:hint="eastAsia" w:ascii="宋体" w:hAnsi="宋体" w:cs="宋体"/>
          <w:szCs w:val="24"/>
        </w:rPr>
      </w:pPr>
    </w:p>
    <w:p w14:paraId="2F660F47">
      <w:pPr>
        <w:pStyle w:val="17"/>
        <w:spacing w:line="360" w:lineRule="auto"/>
        <w:ind w:left="0" w:firstLine="480"/>
        <w:rPr>
          <w:rFonts w:hint="eastAsia" w:ascii="宋体" w:hAnsi="宋体" w:cs="宋体"/>
          <w:szCs w:val="24"/>
        </w:rPr>
      </w:pPr>
    </w:p>
    <w:bookmarkEnd w:id="0"/>
    <w:bookmarkEnd w:id="1"/>
    <w:p w14:paraId="7E6935D8">
      <w:pPr>
        <w:jc w:val="center"/>
        <w:rPr>
          <w:rFonts w:hint="eastAsia" w:ascii="宋体" w:hAnsi="宋体" w:cs="宋体"/>
          <w:b/>
          <w:sz w:val="44"/>
        </w:rPr>
      </w:pPr>
    </w:p>
    <w:p w14:paraId="54B8EB29">
      <w:pPr>
        <w:jc w:val="center"/>
        <w:rPr>
          <w:rFonts w:hint="eastAsia" w:ascii="宋体" w:hAnsi="宋体" w:cs="宋体"/>
          <w:b/>
          <w:sz w:val="44"/>
        </w:rPr>
      </w:pPr>
    </w:p>
    <w:p w14:paraId="3A979866">
      <w:pPr>
        <w:jc w:val="center"/>
        <w:rPr>
          <w:rFonts w:hint="eastAsia" w:ascii="宋体" w:hAnsi="宋体" w:cs="宋体"/>
          <w:b/>
          <w:sz w:val="44"/>
        </w:rPr>
      </w:pPr>
    </w:p>
    <w:p w14:paraId="63AAA51A">
      <w:pPr>
        <w:jc w:val="center"/>
        <w:rPr>
          <w:rFonts w:hint="eastAsia" w:ascii="宋体" w:hAnsi="宋体" w:cs="宋体"/>
          <w:b/>
          <w:sz w:val="44"/>
        </w:rPr>
      </w:pPr>
      <w:r>
        <w:rPr>
          <w:rFonts w:hint="eastAsia" w:ascii="宋体" w:hAnsi="宋体" w:cs="宋体"/>
          <w:b/>
          <w:sz w:val="44"/>
        </w:rPr>
        <w:t>第二章  供应商须知</w:t>
      </w:r>
    </w:p>
    <w:p w14:paraId="248CD081">
      <w:pPr>
        <w:snapToGrid w:val="0"/>
        <w:spacing w:line="360" w:lineRule="auto"/>
        <w:ind w:firstLine="643"/>
        <w:jc w:val="left"/>
        <w:rPr>
          <w:rFonts w:hint="eastAsia" w:ascii="宋体" w:hAnsi="宋体" w:cs="宋体"/>
          <w:b/>
          <w:sz w:val="32"/>
        </w:rPr>
      </w:pPr>
      <w:r>
        <w:rPr>
          <w:rFonts w:hint="eastAsia" w:ascii="宋体" w:hAnsi="宋体" w:cs="宋体"/>
          <w:b/>
          <w:sz w:val="32"/>
        </w:rPr>
        <w:t>一、总则</w:t>
      </w:r>
    </w:p>
    <w:p w14:paraId="4927BA95">
      <w:pPr>
        <w:keepNext/>
        <w:keepLines/>
        <w:spacing w:line="360" w:lineRule="auto"/>
        <w:ind w:firstLine="560"/>
        <w:jc w:val="left"/>
        <w:rPr>
          <w:rFonts w:hint="eastAsia" w:ascii="宋体" w:hAnsi="宋体" w:cs="宋体"/>
          <w:sz w:val="28"/>
          <w:szCs w:val="28"/>
        </w:rPr>
      </w:pPr>
      <w:r>
        <w:rPr>
          <w:rFonts w:hint="eastAsia" w:ascii="宋体" w:hAnsi="宋体" w:cs="宋体"/>
          <w:sz w:val="28"/>
          <w:szCs w:val="28"/>
        </w:rPr>
        <w:t>1．采购方式</w:t>
      </w:r>
    </w:p>
    <w:p w14:paraId="142DB82E">
      <w:pPr>
        <w:spacing w:line="360" w:lineRule="auto"/>
        <w:ind w:firstLine="480"/>
        <w:jc w:val="left"/>
        <w:rPr>
          <w:rFonts w:hint="eastAsia" w:ascii="宋体" w:hAnsi="宋体" w:cs="宋体"/>
          <w:sz w:val="28"/>
          <w:szCs w:val="28"/>
        </w:rPr>
      </w:pPr>
      <w:r>
        <w:rPr>
          <w:rFonts w:hint="eastAsia" w:ascii="宋体" w:hAnsi="宋体" w:cs="宋体"/>
          <w:sz w:val="24"/>
          <w:szCs w:val="24"/>
        </w:rPr>
        <w:t>1.1 本次招标采取竞争性磋商方式，本磋商文件仅适用于第一章“磋商公告”中所述项目。</w:t>
      </w:r>
    </w:p>
    <w:p w14:paraId="38FF6C37">
      <w:pPr>
        <w:keepNext/>
        <w:keepLines/>
        <w:spacing w:line="360" w:lineRule="auto"/>
        <w:ind w:firstLine="560"/>
        <w:jc w:val="left"/>
        <w:rPr>
          <w:rFonts w:hint="eastAsia" w:ascii="宋体" w:hAnsi="宋体" w:cs="宋体"/>
          <w:sz w:val="28"/>
          <w:szCs w:val="28"/>
        </w:rPr>
      </w:pPr>
      <w:r>
        <w:rPr>
          <w:rFonts w:hint="eastAsia" w:ascii="宋体" w:hAnsi="宋体" w:cs="宋体"/>
          <w:sz w:val="28"/>
          <w:szCs w:val="28"/>
        </w:rPr>
        <w:t>2．合格的供应商</w:t>
      </w:r>
    </w:p>
    <w:p w14:paraId="39E759F7">
      <w:pPr>
        <w:keepNext/>
        <w:keepLines/>
        <w:spacing w:line="360" w:lineRule="auto"/>
        <w:ind w:firstLine="480" w:firstLineChars="200"/>
        <w:jc w:val="left"/>
        <w:rPr>
          <w:rFonts w:hint="eastAsia" w:ascii="宋体" w:hAnsi="宋体" w:cs="宋体"/>
          <w:sz w:val="24"/>
          <w:szCs w:val="24"/>
        </w:rPr>
      </w:pPr>
      <w:r>
        <w:rPr>
          <w:rFonts w:hint="eastAsia" w:ascii="宋体" w:hAnsi="宋体" w:cs="宋体"/>
          <w:sz w:val="24"/>
          <w:szCs w:val="24"/>
        </w:rPr>
        <w:t>2. 1满足磋商公告中供应商的资格要求的规定。</w:t>
      </w:r>
    </w:p>
    <w:p w14:paraId="7B73265A">
      <w:pPr>
        <w:keepNext/>
        <w:keepLines/>
        <w:spacing w:line="360" w:lineRule="auto"/>
        <w:ind w:firstLine="480" w:firstLineChars="200"/>
        <w:jc w:val="left"/>
        <w:rPr>
          <w:rFonts w:hint="eastAsia" w:ascii="宋体" w:hAnsi="宋体" w:cs="宋体"/>
          <w:sz w:val="24"/>
          <w:szCs w:val="24"/>
        </w:rPr>
      </w:pPr>
      <w:r>
        <w:rPr>
          <w:rFonts w:hint="eastAsia" w:ascii="宋体" w:hAnsi="宋体" w:cs="宋体"/>
          <w:sz w:val="24"/>
          <w:szCs w:val="24"/>
        </w:rPr>
        <w:t>2. 2 满足本文件实质性条款的规定。</w:t>
      </w:r>
    </w:p>
    <w:p w14:paraId="0B9351CB">
      <w:pPr>
        <w:keepNext/>
        <w:keepLines/>
        <w:spacing w:line="360" w:lineRule="auto"/>
        <w:ind w:firstLine="560" w:firstLineChars="200"/>
        <w:jc w:val="left"/>
        <w:rPr>
          <w:rFonts w:hint="eastAsia" w:ascii="宋体" w:hAnsi="宋体" w:cs="宋体"/>
          <w:sz w:val="28"/>
          <w:szCs w:val="28"/>
        </w:rPr>
      </w:pPr>
      <w:r>
        <w:rPr>
          <w:rFonts w:hint="eastAsia" w:ascii="宋体" w:hAnsi="宋体" w:cs="宋体"/>
          <w:sz w:val="28"/>
          <w:szCs w:val="28"/>
        </w:rPr>
        <w:t>3．适用法律</w:t>
      </w:r>
    </w:p>
    <w:p w14:paraId="2DB59F68">
      <w:pPr>
        <w:spacing w:line="360" w:lineRule="auto"/>
        <w:ind w:firstLine="480"/>
        <w:jc w:val="left"/>
        <w:rPr>
          <w:rFonts w:hint="eastAsia" w:ascii="宋体" w:hAnsi="宋体" w:cs="宋体"/>
          <w:sz w:val="24"/>
          <w:szCs w:val="24"/>
        </w:rPr>
      </w:pPr>
      <w:r>
        <w:rPr>
          <w:rFonts w:hint="eastAsia" w:ascii="宋体" w:hAnsi="宋体" w:cs="宋体"/>
          <w:sz w:val="24"/>
          <w:szCs w:val="24"/>
        </w:rPr>
        <w:t>3.1 《中华人民共和国政府采购法》、《中华人民共和国政府采购法实施条例》、《政府采购竞争性磋商采购方式管理暂行办法》等有关法律、规章和规定等。</w:t>
      </w:r>
    </w:p>
    <w:p w14:paraId="2BB11746">
      <w:pPr>
        <w:keepNext/>
        <w:keepLines/>
        <w:spacing w:line="360" w:lineRule="auto"/>
        <w:ind w:firstLine="560"/>
        <w:jc w:val="left"/>
        <w:rPr>
          <w:rFonts w:hint="eastAsia" w:ascii="宋体" w:hAnsi="宋体" w:cs="宋体"/>
          <w:sz w:val="28"/>
          <w:szCs w:val="28"/>
        </w:rPr>
      </w:pPr>
      <w:r>
        <w:rPr>
          <w:rFonts w:hint="eastAsia" w:ascii="宋体" w:hAnsi="宋体" w:cs="宋体"/>
          <w:sz w:val="28"/>
          <w:szCs w:val="28"/>
        </w:rPr>
        <w:t>4．投标费用</w:t>
      </w:r>
    </w:p>
    <w:p w14:paraId="43D69EA3">
      <w:pPr>
        <w:spacing w:line="360" w:lineRule="auto"/>
        <w:ind w:firstLine="480"/>
        <w:jc w:val="left"/>
        <w:rPr>
          <w:rFonts w:hint="eastAsia" w:ascii="宋体" w:hAnsi="宋体" w:cs="宋体"/>
          <w:sz w:val="24"/>
          <w:szCs w:val="24"/>
        </w:rPr>
      </w:pPr>
      <w:r>
        <w:rPr>
          <w:rFonts w:hint="eastAsia" w:ascii="宋体" w:hAnsi="宋体" w:cs="宋体"/>
          <w:sz w:val="24"/>
          <w:szCs w:val="24"/>
        </w:rPr>
        <w:t>4.1 供应商应自行承担所有与参加投标有关的费用。</w:t>
      </w:r>
    </w:p>
    <w:p w14:paraId="1B90B4A0">
      <w:pPr>
        <w:keepNext/>
        <w:keepLines/>
        <w:spacing w:line="360" w:lineRule="auto"/>
        <w:ind w:firstLine="560"/>
        <w:jc w:val="left"/>
        <w:rPr>
          <w:rFonts w:hint="eastAsia" w:ascii="宋体" w:hAnsi="宋体" w:cs="宋体"/>
          <w:sz w:val="28"/>
          <w:szCs w:val="28"/>
        </w:rPr>
      </w:pPr>
      <w:r>
        <w:rPr>
          <w:rFonts w:hint="eastAsia" w:ascii="宋体" w:hAnsi="宋体" w:cs="宋体"/>
          <w:sz w:val="28"/>
          <w:szCs w:val="28"/>
        </w:rPr>
        <w:t>5．采购文件的约束力</w:t>
      </w:r>
    </w:p>
    <w:p w14:paraId="196E16B3">
      <w:pPr>
        <w:spacing w:line="360" w:lineRule="auto"/>
        <w:ind w:firstLine="480"/>
        <w:jc w:val="left"/>
        <w:rPr>
          <w:rFonts w:hint="eastAsia" w:ascii="宋体" w:hAnsi="宋体" w:cs="宋体"/>
          <w:b/>
          <w:sz w:val="32"/>
        </w:rPr>
      </w:pPr>
      <w:r>
        <w:rPr>
          <w:rFonts w:hint="eastAsia" w:ascii="宋体" w:hAnsi="宋体" w:cs="宋体"/>
          <w:sz w:val="24"/>
          <w:szCs w:val="24"/>
        </w:rPr>
        <w:t>5.1 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p>
    <w:p w14:paraId="2F6989D3">
      <w:pPr>
        <w:snapToGrid w:val="0"/>
        <w:spacing w:line="360" w:lineRule="auto"/>
        <w:ind w:firstLine="643"/>
        <w:jc w:val="left"/>
        <w:rPr>
          <w:rFonts w:hint="eastAsia" w:ascii="宋体" w:hAnsi="宋体" w:cs="宋体"/>
          <w:b/>
          <w:sz w:val="32"/>
        </w:rPr>
      </w:pPr>
      <w:r>
        <w:rPr>
          <w:rFonts w:hint="eastAsia" w:ascii="宋体" w:hAnsi="宋体" w:cs="宋体"/>
          <w:b/>
          <w:sz w:val="32"/>
        </w:rPr>
        <w:t>二、磋商文件</w:t>
      </w:r>
    </w:p>
    <w:p w14:paraId="7ED93159">
      <w:pPr>
        <w:keepNext/>
        <w:keepLines/>
        <w:spacing w:line="360" w:lineRule="auto"/>
        <w:ind w:firstLine="560"/>
        <w:jc w:val="left"/>
        <w:rPr>
          <w:rFonts w:hint="eastAsia" w:ascii="宋体" w:hAnsi="宋体" w:cs="宋体"/>
          <w:sz w:val="28"/>
        </w:rPr>
      </w:pPr>
      <w:r>
        <w:rPr>
          <w:rFonts w:hint="eastAsia" w:ascii="宋体" w:hAnsi="宋体" w:cs="宋体"/>
          <w:sz w:val="28"/>
        </w:rPr>
        <w:t>6．磋商文件构成</w:t>
      </w:r>
    </w:p>
    <w:p w14:paraId="6D473165">
      <w:pPr>
        <w:spacing w:line="360" w:lineRule="auto"/>
        <w:ind w:firstLine="480"/>
        <w:jc w:val="left"/>
        <w:rPr>
          <w:rFonts w:hint="eastAsia" w:ascii="宋体" w:hAnsi="宋体" w:cs="宋体"/>
          <w:sz w:val="24"/>
        </w:rPr>
      </w:pPr>
      <w:r>
        <w:rPr>
          <w:rFonts w:hint="eastAsia" w:ascii="宋体" w:hAnsi="宋体" w:cs="宋体"/>
          <w:sz w:val="24"/>
        </w:rPr>
        <w:t>6.1 磋商文件有以下部分组成：</w:t>
      </w:r>
    </w:p>
    <w:p w14:paraId="5F3ED884">
      <w:pPr>
        <w:spacing w:line="360" w:lineRule="auto"/>
        <w:ind w:firstLine="480"/>
        <w:jc w:val="left"/>
        <w:rPr>
          <w:rFonts w:hint="eastAsia" w:ascii="宋体" w:hAnsi="宋体" w:cs="宋体"/>
          <w:sz w:val="24"/>
        </w:rPr>
      </w:pPr>
      <w:r>
        <w:rPr>
          <w:rFonts w:hint="eastAsia" w:ascii="宋体" w:hAnsi="宋体" w:cs="宋体"/>
          <w:sz w:val="24"/>
        </w:rPr>
        <w:t>（1）磋商公告</w:t>
      </w:r>
    </w:p>
    <w:p w14:paraId="09051E4B">
      <w:pPr>
        <w:spacing w:line="360" w:lineRule="auto"/>
        <w:ind w:firstLine="480"/>
        <w:jc w:val="left"/>
        <w:rPr>
          <w:rFonts w:hint="eastAsia" w:ascii="宋体" w:hAnsi="宋体" w:cs="宋体"/>
          <w:sz w:val="24"/>
        </w:rPr>
      </w:pPr>
      <w:r>
        <w:rPr>
          <w:rFonts w:hint="eastAsia" w:ascii="宋体" w:hAnsi="宋体" w:cs="宋体"/>
          <w:sz w:val="24"/>
        </w:rPr>
        <w:t>（2）供应商须知</w:t>
      </w:r>
    </w:p>
    <w:p w14:paraId="2467CAA9">
      <w:pPr>
        <w:spacing w:line="360" w:lineRule="auto"/>
        <w:ind w:firstLine="480"/>
        <w:jc w:val="left"/>
        <w:rPr>
          <w:rFonts w:hint="eastAsia" w:ascii="宋体" w:hAnsi="宋体" w:cs="宋体"/>
          <w:sz w:val="24"/>
        </w:rPr>
      </w:pPr>
      <w:r>
        <w:rPr>
          <w:rFonts w:hint="eastAsia" w:ascii="宋体" w:hAnsi="宋体" w:cs="宋体"/>
          <w:sz w:val="24"/>
        </w:rPr>
        <w:t>（3）项目需求</w:t>
      </w:r>
    </w:p>
    <w:p w14:paraId="3CD67DB3">
      <w:pPr>
        <w:spacing w:line="360" w:lineRule="auto"/>
        <w:ind w:firstLine="480"/>
        <w:jc w:val="left"/>
        <w:rPr>
          <w:rFonts w:hint="eastAsia" w:ascii="宋体" w:hAnsi="宋体" w:cs="宋体"/>
          <w:sz w:val="24"/>
        </w:rPr>
      </w:pPr>
      <w:r>
        <w:rPr>
          <w:rFonts w:hint="eastAsia" w:ascii="宋体" w:hAnsi="宋体" w:cs="宋体"/>
          <w:sz w:val="24"/>
        </w:rPr>
        <w:t>（4）评标方法与评标标准</w:t>
      </w:r>
    </w:p>
    <w:p w14:paraId="0BA120BC">
      <w:pPr>
        <w:spacing w:line="360" w:lineRule="auto"/>
        <w:ind w:firstLine="480"/>
        <w:jc w:val="left"/>
        <w:rPr>
          <w:rFonts w:hint="eastAsia" w:ascii="宋体" w:hAnsi="宋体" w:cs="宋体"/>
          <w:sz w:val="24"/>
        </w:rPr>
      </w:pPr>
      <w:r>
        <w:rPr>
          <w:rFonts w:hint="eastAsia" w:ascii="宋体" w:hAnsi="宋体" w:cs="宋体"/>
          <w:sz w:val="24"/>
        </w:rPr>
        <w:t>（5）投标响应文件格式</w:t>
      </w:r>
    </w:p>
    <w:p w14:paraId="3F718492">
      <w:pPr>
        <w:spacing w:line="360" w:lineRule="auto"/>
        <w:ind w:firstLine="480"/>
        <w:jc w:val="left"/>
        <w:rPr>
          <w:rFonts w:hint="eastAsia" w:ascii="宋体" w:hAnsi="宋体" w:cs="宋体"/>
          <w:sz w:val="24"/>
        </w:rPr>
      </w:pPr>
      <w:r>
        <w:rPr>
          <w:rFonts w:hint="eastAsia" w:ascii="宋体" w:hAnsi="宋体" w:cs="宋体"/>
          <w:sz w:val="24"/>
        </w:rPr>
        <w:t>请仔细检查采购文件是否齐全，如有缺漏请立即与采购代理机构联系解决。</w:t>
      </w:r>
    </w:p>
    <w:p w14:paraId="00F79854">
      <w:pPr>
        <w:spacing w:line="360" w:lineRule="auto"/>
        <w:ind w:firstLine="480"/>
        <w:jc w:val="left"/>
        <w:rPr>
          <w:rFonts w:hint="eastAsia" w:ascii="宋体" w:hAnsi="宋体" w:cs="宋体"/>
          <w:sz w:val="24"/>
        </w:rPr>
      </w:pPr>
      <w:r>
        <w:rPr>
          <w:rFonts w:hint="eastAsia" w:ascii="宋体" w:hAnsi="宋体" w:cs="宋体"/>
          <w:sz w:val="24"/>
        </w:rPr>
        <w:t>6.2 供应商应认真阅读磋商文件中所有的事项、格式、条款和规范等要求。按磋商文件要求和规定编制投标响应文件，并保证所提供的全部资料的真实性，以使其投标响应文件对采购文件作出实质性响应，否则其风险由供应商自行承担。</w:t>
      </w:r>
    </w:p>
    <w:p w14:paraId="359B8657">
      <w:pPr>
        <w:spacing w:line="360" w:lineRule="auto"/>
        <w:ind w:firstLine="480"/>
        <w:jc w:val="left"/>
        <w:rPr>
          <w:rFonts w:hint="eastAsia" w:ascii="宋体" w:hAnsi="宋体" w:cs="宋体"/>
          <w:sz w:val="24"/>
        </w:rPr>
      </w:pPr>
      <w:r>
        <w:rPr>
          <w:rFonts w:hint="eastAsia" w:ascii="宋体" w:hAnsi="宋体" w:cs="宋体"/>
          <w:sz w:val="24"/>
        </w:rPr>
        <w:t>6.3网址：</w:t>
      </w:r>
    </w:p>
    <w:p w14:paraId="2A7D7772">
      <w:pPr>
        <w:spacing w:line="360" w:lineRule="auto"/>
        <w:ind w:firstLine="480"/>
        <w:jc w:val="left"/>
        <w:rPr>
          <w:rFonts w:hint="eastAsia" w:ascii="宋体" w:hAnsi="宋体" w:cs="宋体"/>
          <w:sz w:val="24"/>
        </w:rPr>
      </w:pPr>
      <w:r>
        <w:rPr>
          <w:rFonts w:hint="eastAsia" w:ascii="宋体" w:hAnsi="宋体" w:cs="宋体"/>
          <w:sz w:val="24"/>
        </w:rPr>
        <w:t>（1）投标人在如东县限额交易网（http://www.rudong.net/web/index→项目投标方）的项目投标方业务系统进行网上报名（即下载本项目采购文件及相关招标资料）。</w:t>
      </w:r>
    </w:p>
    <w:p w14:paraId="2A5C2C6D">
      <w:pPr>
        <w:spacing w:line="360" w:lineRule="auto"/>
        <w:ind w:firstLine="480"/>
        <w:jc w:val="left"/>
        <w:rPr>
          <w:rFonts w:hint="eastAsia" w:ascii="宋体" w:hAnsi="宋体" w:cs="宋体"/>
          <w:sz w:val="24"/>
        </w:rPr>
      </w:pPr>
      <w:r>
        <w:rPr>
          <w:rFonts w:hint="eastAsia" w:ascii="宋体" w:hAnsi="宋体" w:cs="宋体"/>
          <w:sz w:val="24"/>
        </w:rPr>
        <w:t>（2）本项目投标人的资格审查采用资格后审方式，采购人不组织投标人对现场的集中踏勘，请各投标人自行踏勘现场。凡有意参加投标者须登陆“如东县限额交易网-项目投标方”下载采购文件等，登陆地址“（http://www.rudong.net/web/index”。）”</w:t>
      </w:r>
    </w:p>
    <w:p w14:paraId="2D212D89">
      <w:pPr>
        <w:spacing w:line="360" w:lineRule="auto"/>
        <w:ind w:firstLine="480"/>
        <w:jc w:val="left"/>
        <w:rPr>
          <w:rFonts w:hint="eastAsia" w:ascii="宋体" w:hAnsi="宋体" w:cs="宋体"/>
          <w:sz w:val="24"/>
        </w:rPr>
      </w:pPr>
      <w:r>
        <w:rPr>
          <w:rFonts w:hint="eastAsia" w:ascii="宋体" w:hAnsi="宋体" w:cs="宋体"/>
          <w:sz w:val="24"/>
        </w:rPr>
        <w:t>（3）不见面开标的系统网址为http://www.rudong.net/web/index。</w:t>
      </w:r>
    </w:p>
    <w:p w14:paraId="6CDCB5BC">
      <w:pPr>
        <w:keepNext/>
        <w:keepLines/>
        <w:spacing w:line="360" w:lineRule="auto"/>
        <w:ind w:firstLine="420"/>
        <w:jc w:val="left"/>
        <w:rPr>
          <w:rFonts w:hint="eastAsia" w:ascii="宋体" w:hAnsi="宋体" w:cs="宋体"/>
          <w:sz w:val="28"/>
        </w:rPr>
      </w:pPr>
      <w:r>
        <w:rPr>
          <w:rFonts w:hint="eastAsia" w:ascii="宋体" w:hAnsi="宋体" w:cs="宋体"/>
          <w:sz w:val="28"/>
        </w:rPr>
        <w:t>7．磋商文件的澄清</w:t>
      </w:r>
    </w:p>
    <w:p w14:paraId="6A34ECBF">
      <w:pPr>
        <w:spacing w:line="360" w:lineRule="auto"/>
        <w:ind w:firstLine="480"/>
        <w:jc w:val="left"/>
        <w:rPr>
          <w:rFonts w:hint="eastAsia" w:ascii="宋体" w:hAnsi="宋体" w:cs="宋体"/>
          <w:sz w:val="24"/>
        </w:rPr>
      </w:pPr>
      <w:r>
        <w:rPr>
          <w:rFonts w:hint="eastAsia" w:ascii="宋体" w:hAnsi="宋体" w:cs="宋体"/>
          <w:sz w:val="24"/>
        </w:rPr>
        <w:t>7.1 任何要求对磋商文件进行澄清的供应商，均应在投标截止期5日前按磋商公告中的联系方式，以书面形式提交给采购人。采购人认为已发布的磋商文件确有必要澄清或者修改的，将在磋商公告发布媒体发布更正公告。</w:t>
      </w:r>
    </w:p>
    <w:p w14:paraId="0B6B5A8B">
      <w:pPr>
        <w:keepNext/>
        <w:keepLines/>
        <w:spacing w:line="360" w:lineRule="auto"/>
        <w:ind w:firstLine="420"/>
        <w:jc w:val="left"/>
        <w:rPr>
          <w:rFonts w:hint="eastAsia" w:ascii="宋体" w:hAnsi="宋体" w:cs="宋体"/>
          <w:sz w:val="28"/>
        </w:rPr>
      </w:pPr>
      <w:r>
        <w:rPr>
          <w:rFonts w:hint="eastAsia" w:ascii="宋体" w:hAnsi="宋体" w:cs="宋体"/>
          <w:sz w:val="28"/>
        </w:rPr>
        <w:t>8．磋商文件的修改</w:t>
      </w:r>
    </w:p>
    <w:p w14:paraId="307D4357">
      <w:pPr>
        <w:spacing w:line="360" w:lineRule="auto"/>
        <w:ind w:firstLine="480"/>
        <w:jc w:val="left"/>
        <w:rPr>
          <w:rFonts w:hint="eastAsia" w:ascii="宋体" w:hAnsi="宋体" w:cs="宋体"/>
          <w:sz w:val="24"/>
        </w:rPr>
      </w:pPr>
      <w:r>
        <w:rPr>
          <w:rFonts w:hint="eastAsia" w:ascii="宋体" w:hAnsi="宋体" w:cs="宋体"/>
          <w:sz w:val="24"/>
        </w:rPr>
        <w:t>8.1 在投标截止时间三天前，采购人均可以以补充文件的方式对磋商文件进行修改。</w:t>
      </w:r>
    </w:p>
    <w:p w14:paraId="508D26F6">
      <w:pPr>
        <w:spacing w:line="360" w:lineRule="auto"/>
        <w:ind w:firstLine="480"/>
        <w:jc w:val="left"/>
        <w:rPr>
          <w:rFonts w:hint="eastAsia" w:ascii="宋体" w:hAnsi="宋体" w:cs="宋体"/>
          <w:sz w:val="24"/>
        </w:rPr>
      </w:pPr>
      <w:r>
        <w:rPr>
          <w:rFonts w:hint="eastAsia" w:ascii="宋体" w:hAnsi="宋体" w:cs="宋体"/>
          <w:sz w:val="24"/>
        </w:rPr>
        <w:t>8.2采购人有权按规定要求推迟投标截止日期和开标日期。</w:t>
      </w:r>
    </w:p>
    <w:p w14:paraId="521C9AB6">
      <w:pPr>
        <w:spacing w:line="360" w:lineRule="auto"/>
        <w:ind w:firstLine="480"/>
        <w:jc w:val="left"/>
        <w:rPr>
          <w:rFonts w:hint="eastAsia" w:ascii="宋体" w:hAnsi="宋体" w:cs="宋体"/>
          <w:sz w:val="24"/>
        </w:rPr>
      </w:pPr>
      <w:r>
        <w:rPr>
          <w:rFonts w:hint="eastAsia" w:ascii="宋体" w:hAnsi="宋体" w:cs="宋体"/>
          <w:sz w:val="24"/>
        </w:rPr>
        <w:t>8.3磋商文件的修改将在磋商公告发布媒体公布，补充文件将作为磋商文件的组成部分，并对供应商具有约束力。</w:t>
      </w:r>
    </w:p>
    <w:p w14:paraId="2E680ED0">
      <w:pPr>
        <w:jc w:val="left"/>
        <w:rPr>
          <w:rFonts w:hint="eastAsia" w:ascii="宋体" w:hAnsi="宋体" w:cs="宋体"/>
        </w:rPr>
      </w:pPr>
    </w:p>
    <w:p w14:paraId="690CFB1B">
      <w:pPr>
        <w:snapToGrid w:val="0"/>
        <w:spacing w:line="360" w:lineRule="auto"/>
        <w:ind w:firstLine="643"/>
        <w:jc w:val="left"/>
        <w:rPr>
          <w:rFonts w:hint="eastAsia" w:ascii="宋体" w:hAnsi="宋体" w:cs="宋体"/>
          <w:b/>
          <w:sz w:val="32"/>
        </w:rPr>
      </w:pPr>
      <w:r>
        <w:rPr>
          <w:rFonts w:hint="eastAsia" w:ascii="宋体" w:hAnsi="宋体" w:cs="宋体"/>
          <w:b/>
          <w:sz w:val="32"/>
        </w:rPr>
        <w:t>三、响应文件的编制</w:t>
      </w:r>
    </w:p>
    <w:p w14:paraId="320A27D5">
      <w:pPr>
        <w:keepNext/>
        <w:keepLines/>
        <w:spacing w:line="360" w:lineRule="auto"/>
        <w:ind w:firstLine="560"/>
        <w:jc w:val="left"/>
        <w:rPr>
          <w:rFonts w:hint="eastAsia" w:ascii="宋体" w:hAnsi="宋体" w:cs="宋体"/>
          <w:sz w:val="28"/>
        </w:rPr>
      </w:pPr>
      <w:r>
        <w:rPr>
          <w:rFonts w:hint="eastAsia" w:ascii="宋体" w:hAnsi="宋体" w:cs="宋体"/>
          <w:sz w:val="28"/>
        </w:rPr>
        <w:t>9．响应文件的语言及度量衡单位</w:t>
      </w:r>
    </w:p>
    <w:p w14:paraId="4AA6D4DE">
      <w:pPr>
        <w:spacing w:line="360" w:lineRule="auto"/>
        <w:ind w:firstLine="480"/>
        <w:jc w:val="left"/>
        <w:rPr>
          <w:rFonts w:hint="eastAsia" w:ascii="宋体" w:hAnsi="宋体" w:cs="宋体"/>
          <w:sz w:val="24"/>
        </w:rPr>
      </w:pPr>
      <w:r>
        <w:rPr>
          <w:rFonts w:hint="eastAsia" w:ascii="宋体" w:hAnsi="宋体" w:cs="宋体"/>
          <w:sz w:val="24"/>
        </w:rPr>
        <w:t>9.1 供应商提交的响应文件以及供应商与采购人就有关投标的所有来往通知、函件和文件均应使用简体中文。</w:t>
      </w:r>
    </w:p>
    <w:p w14:paraId="7D413537">
      <w:pPr>
        <w:spacing w:line="360" w:lineRule="auto"/>
        <w:ind w:firstLine="480"/>
        <w:jc w:val="left"/>
        <w:rPr>
          <w:rFonts w:hint="eastAsia" w:ascii="宋体" w:hAnsi="宋体" w:cs="宋体"/>
          <w:sz w:val="24"/>
        </w:rPr>
      </w:pPr>
      <w:r>
        <w:rPr>
          <w:rFonts w:hint="eastAsia" w:ascii="宋体" w:hAnsi="宋体" w:cs="宋体"/>
          <w:sz w:val="24"/>
        </w:rPr>
        <w:t>9.2 除技术性能另有规定外，投标文件所使用的度量衡单位，均须采用国家法定计量单位。</w:t>
      </w:r>
    </w:p>
    <w:p w14:paraId="49A386C0">
      <w:pPr>
        <w:keepNext/>
        <w:keepLines/>
        <w:spacing w:line="360" w:lineRule="auto"/>
        <w:ind w:firstLine="560"/>
        <w:jc w:val="left"/>
        <w:rPr>
          <w:rFonts w:hint="eastAsia" w:ascii="宋体" w:hAnsi="宋体" w:cs="宋体"/>
          <w:sz w:val="28"/>
        </w:rPr>
      </w:pPr>
      <w:r>
        <w:rPr>
          <w:rFonts w:hint="eastAsia" w:ascii="宋体" w:hAnsi="宋体" w:cs="宋体"/>
          <w:sz w:val="28"/>
        </w:rPr>
        <w:t>10．响应文件构成</w:t>
      </w:r>
    </w:p>
    <w:p w14:paraId="217552B0">
      <w:pPr>
        <w:spacing w:line="360" w:lineRule="auto"/>
        <w:ind w:firstLine="480"/>
        <w:jc w:val="left"/>
        <w:rPr>
          <w:rFonts w:hint="eastAsia" w:ascii="宋体" w:hAnsi="宋体" w:cs="宋体"/>
          <w:sz w:val="24"/>
        </w:rPr>
      </w:pPr>
      <w:r>
        <w:rPr>
          <w:rFonts w:hint="eastAsia" w:ascii="宋体" w:hAnsi="宋体" w:cs="宋体"/>
          <w:sz w:val="24"/>
        </w:rPr>
        <w:t>10.1供应商编写的响应文件应按本采购文件详细编制。</w:t>
      </w:r>
    </w:p>
    <w:p w14:paraId="2CF1E2BC">
      <w:pPr>
        <w:spacing w:line="360" w:lineRule="auto"/>
        <w:ind w:firstLine="480"/>
        <w:jc w:val="left"/>
        <w:rPr>
          <w:rFonts w:hint="eastAsia" w:ascii="宋体" w:hAnsi="宋体" w:cs="宋体"/>
          <w:sz w:val="24"/>
        </w:rPr>
      </w:pPr>
      <w:r>
        <w:rPr>
          <w:rFonts w:hint="eastAsia" w:ascii="宋体" w:hAnsi="宋体" w:cs="宋体"/>
          <w:sz w:val="24"/>
        </w:rPr>
        <w:t>10.2请仔细检查磋商文件是否齐全，如有缺漏请立即与招标代理机构联系解决。</w:t>
      </w:r>
    </w:p>
    <w:p w14:paraId="569413FF">
      <w:pPr>
        <w:spacing w:line="360" w:lineRule="auto"/>
        <w:ind w:firstLine="480"/>
        <w:jc w:val="left"/>
        <w:rPr>
          <w:rFonts w:hint="eastAsia" w:ascii="宋体" w:hAnsi="宋体" w:cs="宋体"/>
          <w:sz w:val="24"/>
        </w:rPr>
      </w:pPr>
      <w:r>
        <w:rPr>
          <w:rFonts w:hint="eastAsia" w:ascii="宋体" w:hAnsi="宋体" w:cs="宋体"/>
          <w:sz w:val="24"/>
        </w:rPr>
        <w:t>10.3响应文件参照响应文件格式中“投标主要文件目录”的顺序制作，并请编制目录。由于不按要求编排，编排混乱等导致响应文件被误读或查找不到，责任由投标人承担。</w:t>
      </w:r>
    </w:p>
    <w:p w14:paraId="09D00557">
      <w:pPr>
        <w:spacing w:line="360" w:lineRule="auto"/>
        <w:ind w:firstLine="480"/>
        <w:jc w:val="left"/>
        <w:rPr>
          <w:rFonts w:hint="eastAsia" w:ascii="宋体" w:hAnsi="宋体" w:cs="宋体"/>
          <w:sz w:val="24"/>
        </w:rPr>
      </w:pPr>
      <w:r>
        <w:rPr>
          <w:rFonts w:hint="eastAsia" w:ascii="宋体" w:hAnsi="宋体" w:cs="宋体"/>
          <w:sz w:val="24"/>
        </w:rPr>
        <w:t>11．证明投标人资格及符合磋商文件规定的文件</w:t>
      </w:r>
    </w:p>
    <w:p w14:paraId="0C699D12">
      <w:pPr>
        <w:keepNext/>
        <w:keepLines/>
        <w:ind w:firstLine="560"/>
        <w:jc w:val="left"/>
        <w:rPr>
          <w:rFonts w:hint="eastAsia" w:ascii="宋体" w:hAnsi="宋体" w:cs="宋体"/>
          <w:sz w:val="28"/>
        </w:rPr>
      </w:pPr>
      <w:r>
        <w:rPr>
          <w:rFonts w:hint="eastAsia" w:ascii="宋体" w:hAnsi="宋体" w:cs="宋体"/>
          <w:sz w:val="28"/>
        </w:rPr>
        <w:t>12．投标分项报价表</w:t>
      </w:r>
    </w:p>
    <w:p w14:paraId="4ABB736F">
      <w:pPr>
        <w:spacing w:line="360" w:lineRule="auto"/>
        <w:ind w:firstLine="480"/>
        <w:jc w:val="left"/>
        <w:rPr>
          <w:rFonts w:hint="eastAsia" w:ascii="宋体" w:hAnsi="宋体" w:cs="宋体"/>
          <w:sz w:val="24"/>
        </w:rPr>
      </w:pPr>
      <w:r>
        <w:rPr>
          <w:rFonts w:hint="eastAsia" w:ascii="宋体" w:hAnsi="宋体" w:cs="宋体"/>
          <w:sz w:val="24"/>
        </w:rPr>
        <w:t>12.1供应商应按照采购文件规定格式填报投标分项报价表，在表中标明所提供的服务的品目等中文说明。每项服务等只允许有一个报价，任何有选择的报价将不予接受。</w:t>
      </w:r>
    </w:p>
    <w:p w14:paraId="1448567F">
      <w:pPr>
        <w:spacing w:line="360" w:lineRule="auto"/>
        <w:ind w:firstLine="480"/>
        <w:jc w:val="left"/>
        <w:rPr>
          <w:rFonts w:hint="eastAsia" w:ascii="宋体" w:hAnsi="宋体" w:cs="宋体"/>
          <w:sz w:val="24"/>
        </w:rPr>
      </w:pPr>
      <w:r>
        <w:rPr>
          <w:rFonts w:hint="eastAsia" w:ascii="宋体" w:hAnsi="宋体" w:cs="宋体"/>
          <w:sz w:val="24"/>
        </w:rPr>
        <w:t>12.2有关费用处理</w:t>
      </w:r>
    </w:p>
    <w:p w14:paraId="362B1291">
      <w:pPr>
        <w:spacing w:line="360" w:lineRule="auto"/>
        <w:ind w:firstLine="480"/>
        <w:jc w:val="left"/>
        <w:rPr>
          <w:rFonts w:hint="eastAsia" w:ascii="宋体" w:hAnsi="宋体" w:cs="宋体"/>
          <w:sz w:val="24"/>
        </w:rPr>
      </w:pPr>
      <w:r>
        <w:rPr>
          <w:rFonts w:hint="eastAsia" w:ascii="宋体" w:hAnsi="宋体" w:cs="宋体"/>
          <w:sz w:val="24"/>
        </w:rPr>
        <w:t>投标报价采用总承包方式，投标人的报价应包括</w:t>
      </w:r>
      <w:r>
        <w:rPr>
          <w:rFonts w:hint="eastAsia" w:ascii="宋体" w:hAnsi="宋体" w:cs="宋体"/>
          <w:bCs/>
          <w:sz w:val="24"/>
          <w:szCs w:val="24"/>
        </w:rPr>
        <w:t>货物（含耗材、备品备件）、包装、仓储、运输、装卸、保险、系统调试、维护保养、税金、驻场服务人员等所需的一切费用。</w:t>
      </w:r>
    </w:p>
    <w:p w14:paraId="2D7402A5">
      <w:pPr>
        <w:spacing w:line="360" w:lineRule="auto"/>
        <w:ind w:firstLine="480"/>
        <w:jc w:val="left"/>
        <w:rPr>
          <w:rFonts w:hint="eastAsia" w:ascii="宋体" w:hAnsi="宋体" w:cs="宋体"/>
          <w:sz w:val="24"/>
        </w:rPr>
      </w:pPr>
      <w:r>
        <w:rPr>
          <w:rFonts w:hint="eastAsia" w:ascii="宋体" w:hAnsi="宋体" w:cs="宋体"/>
          <w:sz w:val="24"/>
        </w:rPr>
        <w:t>12.3其它费用处理</w:t>
      </w:r>
    </w:p>
    <w:p w14:paraId="56962FBC">
      <w:pPr>
        <w:spacing w:line="360" w:lineRule="auto"/>
        <w:ind w:firstLine="480"/>
        <w:jc w:val="left"/>
        <w:rPr>
          <w:rFonts w:hint="eastAsia" w:ascii="宋体" w:hAnsi="宋体" w:cs="宋体"/>
          <w:sz w:val="24"/>
        </w:rPr>
      </w:pPr>
      <w:r>
        <w:rPr>
          <w:rFonts w:hint="eastAsia" w:ascii="宋体" w:hAnsi="宋体" w:cs="宋体"/>
          <w:sz w:val="24"/>
        </w:rPr>
        <w:t>磋商文件未列明，而供应商认为必需的费用也需列入报价。</w:t>
      </w:r>
    </w:p>
    <w:p w14:paraId="5AB21730">
      <w:pPr>
        <w:spacing w:line="360" w:lineRule="auto"/>
        <w:ind w:firstLine="480"/>
        <w:jc w:val="left"/>
        <w:rPr>
          <w:rFonts w:hint="eastAsia" w:ascii="宋体" w:hAnsi="宋体" w:cs="宋体"/>
          <w:sz w:val="24"/>
        </w:rPr>
      </w:pPr>
      <w:r>
        <w:rPr>
          <w:rFonts w:hint="eastAsia" w:ascii="宋体" w:hAnsi="宋体" w:cs="宋体"/>
          <w:sz w:val="24"/>
        </w:rPr>
        <w:t>12.4投标货币</w:t>
      </w:r>
    </w:p>
    <w:p w14:paraId="7D3068BF">
      <w:pPr>
        <w:spacing w:line="360" w:lineRule="auto"/>
        <w:ind w:firstLine="480"/>
        <w:jc w:val="left"/>
        <w:rPr>
          <w:rFonts w:hint="eastAsia" w:ascii="宋体" w:hAnsi="宋体" w:cs="宋体"/>
          <w:sz w:val="24"/>
        </w:rPr>
      </w:pPr>
      <w:r>
        <w:rPr>
          <w:rFonts w:hint="eastAsia" w:ascii="宋体" w:hAnsi="宋体" w:cs="宋体"/>
          <w:sz w:val="24"/>
        </w:rPr>
        <w:t>投标文件中的货物或服务单价和总价无特殊规定的采用人民币报价，以报价表要求的为单位标注。磋商文件中另有规定的按规定执行。</w:t>
      </w:r>
    </w:p>
    <w:p w14:paraId="452F5F32">
      <w:pPr>
        <w:spacing w:line="360" w:lineRule="auto"/>
        <w:ind w:firstLine="480"/>
        <w:jc w:val="left"/>
        <w:rPr>
          <w:rFonts w:hint="eastAsia" w:ascii="宋体" w:hAnsi="宋体" w:cs="宋体"/>
          <w:sz w:val="24"/>
        </w:rPr>
      </w:pPr>
      <w:r>
        <w:rPr>
          <w:rFonts w:hint="eastAsia" w:ascii="宋体" w:hAnsi="宋体" w:cs="宋体"/>
          <w:sz w:val="24"/>
        </w:rPr>
        <w:t>12.5 投标分项报价表上的价格应按下列方式分开填写：</w:t>
      </w:r>
    </w:p>
    <w:p w14:paraId="4563EC16">
      <w:pPr>
        <w:spacing w:line="360" w:lineRule="auto"/>
        <w:ind w:firstLine="480"/>
        <w:jc w:val="left"/>
        <w:rPr>
          <w:rFonts w:hint="eastAsia" w:ascii="宋体" w:hAnsi="宋体" w:cs="宋体"/>
          <w:sz w:val="24"/>
        </w:rPr>
      </w:pPr>
      <w:r>
        <w:rPr>
          <w:rFonts w:hint="eastAsia" w:ascii="宋体" w:hAnsi="宋体" w:cs="宋体"/>
          <w:sz w:val="24"/>
        </w:rPr>
        <w:t>⑴项目总价：包括买方需求的项目在指定地点、环境交付、验收所需费用和所有相关税金费用及为完成整个项目所产生的其它所有费用。</w:t>
      </w:r>
    </w:p>
    <w:p w14:paraId="2564E98D">
      <w:pPr>
        <w:spacing w:line="360" w:lineRule="auto"/>
        <w:ind w:firstLine="480"/>
        <w:jc w:val="left"/>
        <w:rPr>
          <w:rFonts w:hint="eastAsia" w:ascii="宋体" w:hAnsi="宋体" w:cs="宋体"/>
          <w:sz w:val="24"/>
        </w:rPr>
      </w:pPr>
      <w:r>
        <w:rPr>
          <w:rFonts w:hint="eastAsia" w:ascii="宋体" w:hAnsi="宋体" w:cs="宋体"/>
          <w:sz w:val="24"/>
        </w:rPr>
        <w:t>⑵项目单价按投标分项报价表中要求填报。</w:t>
      </w:r>
    </w:p>
    <w:p w14:paraId="2B608CBB">
      <w:pPr>
        <w:keepNext/>
        <w:keepLines/>
        <w:spacing w:line="360" w:lineRule="auto"/>
        <w:ind w:firstLine="420"/>
        <w:jc w:val="left"/>
        <w:rPr>
          <w:rFonts w:hint="eastAsia" w:ascii="宋体" w:hAnsi="宋体" w:cs="宋体"/>
          <w:sz w:val="28"/>
        </w:rPr>
      </w:pPr>
      <w:r>
        <w:rPr>
          <w:rFonts w:hint="eastAsia" w:ascii="宋体" w:hAnsi="宋体" w:cs="宋体"/>
          <w:sz w:val="28"/>
        </w:rPr>
        <w:t>13．商务条款响应及偏离表及投标货物（服务）说明</w:t>
      </w:r>
    </w:p>
    <w:p w14:paraId="3203B8DA">
      <w:pPr>
        <w:spacing w:line="360" w:lineRule="auto"/>
        <w:ind w:firstLine="480"/>
        <w:jc w:val="left"/>
        <w:rPr>
          <w:rFonts w:hint="eastAsia" w:ascii="宋体" w:hAnsi="宋体" w:cs="宋体"/>
          <w:sz w:val="24"/>
        </w:rPr>
      </w:pPr>
      <w:r>
        <w:rPr>
          <w:rFonts w:hint="eastAsia" w:ascii="宋体" w:hAnsi="宋体" w:cs="宋体"/>
          <w:sz w:val="24"/>
        </w:rPr>
        <w:t>13.1对磋商文件中的商务条款要求逐项作出响应或偏离，并说明原因；</w:t>
      </w:r>
    </w:p>
    <w:p w14:paraId="53D751A5">
      <w:pPr>
        <w:keepNext/>
        <w:keepLines/>
        <w:spacing w:line="360" w:lineRule="auto"/>
        <w:ind w:firstLine="420"/>
        <w:jc w:val="left"/>
        <w:rPr>
          <w:rFonts w:hint="eastAsia" w:ascii="宋体" w:hAnsi="宋体" w:cs="宋体"/>
          <w:sz w:val="28"/>
        </w:rPr>
      </w:pPr>
      <w:r>
        <w:rPr>
          <w:rFonts w:hint="eastAsia" w:ascii="宋体" w:hAnsi="宋体" w:cs="宋体"/>
          <w:sz w:val="28"/>
        </w:rPr>
        <w:t>14．服务承诺的情况介绍</w:t>
      </w:r>
    </w:p>
    <w:p w14:paraId="0664079A">
      <w:pPr>
        <w:spacing w:line="360" w:lineRule="auto"/>
        <w:ind w:firstLine="480"/>
        <w:jc w:val="left"/>
        <w:rPr>
          <w:rFonts w:hint="eastAsia" w:ascii="宋体" w:hAnsi="宋体" w:cs="宋体"/>
          <w:sz w:val="24"/>
        </w:rPr>
      </w:pPr>
      <w:r>
        <w:rPr>
          <w:rFonts w:hint="eastAsia" w:ascii="宋体" w:hAnsi="宋体" w:cs="宋体"/>
          <w:sz w:val="24"/>
        </w:rPr>
        <w:t>14.1供应商的服务承诺应按不低于磋商文件中商务要求的标准。</w:t>
      </w:r>
    </w:p>
    <w:p w14:paraId="46845E8F">
      <w:pPr>
        <w:spacing w:line="360" w:lineRule="auto"/>
        <w:ind w:firstLine="480"/>
        <w:jc w:val="left"/>
        <w:rPr>
          <w:rFonts w:hint="eastAsia" w:ascii="宋体" w:hAnsi="宋体" w:cs="宋体"/>
          <w:sz w:val="24"/>
          <w:szCs w:val="24"/>
        </w:rPr>
      </w:pPr>
      <w:r>
        <w:rPr>
          <w:rFonts w:hint="eastAsia" w:ascii="宋体" w:hAnsi="宋体" w:cs="宋体"/>
          <w:sz w:val="24"/>
          <w:szCs w:val="24"/>
        </w:rPr>
        <w:t>15．投标函和开标一览表</w:t>
      </w:r>
    </w:p>
    <w:p w14:paraId="5F2C75F4">
      <w:pPr>
        <w:spacing w:line="360" w:lineRule="auto"/>
        <w:ind w:firstLine="480"/>
        <w:jc w:val="left"/>
        <w:rPr>
          <w:rFonts w:hint="eastAsia" w:ascii="宋体" w:hAnsi="宋体" w:cs="宋体"/>
          <w:sz w:val="24"/>
          <w:szCs w:val="24"/>
        </w:rPr>
      </w:pPr>
      <w:r>
        <w:rPr>
          <w:rFonts w:hint="eastAsia" w:ascii="宋体" w:hAnsi="宋体" w:cs="宋体"/>
          <w:b/>
          <w:bCs/>
          <w:sz w:val="24"/>
          <w:szCs w:val="24"/>
        </w:rPr>
        <w:t>15.1 投标人应按照磋商文件中提供的格式完整、正确填写投标函、开标一览表。</w:t>
      </w:r>
    </w:p>
    <w:p w14:paraId="47B601F5">
      <w:pPr>
        <w:spacing w:line="360" w:lineRule="auto"/>
        <w:ind w:firstLine="480"/>
        <w:jc w:val="left"/>
        <w:rPr>
          <w:rFonts w:hint="eastAsia" w:ascii="宋体" w:hAnsi="宋体" w:cs="宋体"/>
          <w:sz w:val="24"/>
          <w:szCs w:val="24"/>
        </w:rPr>
      </w:pPr>
      <w:r>
        <w:rPr>
          <w:rFonts w:hint="eastAsia" w:ascii="宋体" w:hAnsi="宋体" w:cs="宋体"/>
          <w:sz w:val="24"/>
          <w:szCs w:val="24"/>
        </w:rPr>
        <w:t>16．投标保证金</w:t>
      </w:r>
    </w:p>
    <w:p w14:paraId="2C75F88F">
      <w:pPr>
        <w:spacing w:line="360" w:lineRule="auto"/>
        <w:ind w:firstLine="480"/>
        <w:jc w:val="left"/>
        <w:rPr>
          <w:rFonts w:hint="eastAsia" w:ascii="宋体" w:hAnsi="宋体" w:cs="宋体"/>
          <w:sz w:val="24"/>
          <w:szCs w:val="24"/>
        </w:rPr>
      </w:pPr>
      <w:r>
        <w:rPr>
          <w:rFonts w:hint="eastAsia" w:ascii="宋体" w:hAnsi="宋体" w:cs="宋体"/>
          <w:sz w:val="24"/>
          <w:szCs w:val="24"/>
        </w:rPr>
        <w:t>本项目不收取投标保证金。磋商文件中涉及投标保证金的事项，均按免收投标保证金执行。</w:t>
      </w:r>
    </w:p>
    <w:p w14:paraId="44CD56A6">
      <w:pPr>
        <w:spacing w:line="360" w:lineRule="auto"/>
        <w:ind w:firstLine="480"/>
        <w:jc w:val="left"/>
        <w:rPr>
          <w:rFonts w:hint="eastAsia" w:ascii="宋体" w:hAnsi="宋体" w:cs="宋体"/>
          <w:sz w:val="24"/>
          <w:szCs w:val="24"/>
        </w:rPr>
      </w:pPr>
      <w:r>
        <w:rPr>
          <w:rFonts w:hint="eastAsia" w:ascii="宋体" w:hAnsi="宋体" w:cs="宋体"/>
          <w:sz w:val="24"/>
          <w:szCs w:val="24"/>
        </w:rPr>
        <w:t>17．投标有效期</w:t>
      </w:r>
    </w:p>
    <w:p w14:paraId="1481E9D6">
      <w:pPr>
        <w:spacing w:line="360" w:lineRule="auto"/>
        <w:ind w:firstLine="480"/>
        <w:jc w:val="left"/>
        <w:rPr>
          <w:rFonts w:hint="eastAsia" w:ascii="宋体" w:hAnsi="宋体" w:cs="宋体"/>
          <w:sz w:val="24"/>
          <w:szCs w:val="24"/>
        </w:rPr>
      </w:pPr>
      <w:r>
        <w:rPr>
          <w:rFonts w:hint="eastAsia" w:ascii="宋体" w:hAnsi="宋体" w:cs="宋体"/>
          <w:sz w:val="24"/>
          <w:szCs w:val="24"/>
        </w:rPr>
        <w:t>17.1 投标有效期为采购人规定的开标之日后45日历日。投标有效期比规定短的将被视为非响应性投标而予以拒绝。</w:t>
      </w:r>
    </w:p>
    <w:p w14:paraId="56F46DD0">
      <w:pPr>
        <w:spacing w:line="360" w:lineRule="auto"/>
        <w:ind w:firstLine="480"/>
        <w:jc w:val="left"/>
        <w:rPr>
          <w:rFonts w:hint="eastAsia" w:ascii="宋体" w:hAnsi="宋体" w:cs="宋体"/>
          <w:sz w:val="24"/>
          <w:szCs w:val="24"/>
        </w:rPr>
      </w:pPr>
      <w:r>
        <w:rPr>
          <w:rFonts w:hint="eastAsia" w:ascii="宋体" w:hAnsi="宋体" w:cs="宋体"/>
          <w:sz w:val="24"/>
          <w:szCs w:val="24"/>
        </w:rPr>
        <w:t>17.2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响应文件。第16条有关投标保证金的没收和退还的规定在延长期内继续有效，同时受投标有效期约束的所有权利与义务均延长至新的有效期。</w:t>
      </w:r>
    </w:p>
    <w:p w14:paraId="7A25B1CE">
      <w:pPr>
        <w:spacing w:line="360" w:lineRule="auto"/>
        <w:ind w:firstLine="480"/>
        <w:jc w:val="left"/>
        <w:rPr>
          <w:rFonts w:hint="eastAsia" w:ascii="宋体" w:hAnsi="宋体" w:cs="宋体"/>
          <w:sz w:val="24"/>
          <w:szCs w:val="24"/>
        </w:rPr>
      </w:pPr>
      <w:r>
        <w:rPr>
          <w:rFonts w:hint="eastAsia" w:ascii="宋体" w:hAnsi="宋体" w:cs="宋体"/>
          <w:sz w:val="24"/>
          <w:szCs w:val="24"/>
        </w:rPr>
        <w:t>18．响应文件份数和签署</w:t>
      </w:r>
    </w:p>
    <w:p w14:paraId="13232599">
      <w:pPr>
        <w:spacing w:line="360" w:lineRule="auto"/>
        <w:ind w:firstLine="480"/>
        <w:jc w:val="left"/>
        <w:rPr>
          <w:rFonts w:hint="eastAsia" w:ascii="宋体" w:hAnsi="宋体" w:cs="宋体"/>
          <w:b/>
          <w:bCs/>
          <w:sz w:val="24"/>
          <w:szCs w:val="24"/>
        </w:rPr>
      </w:pPr>
      <w:r>
        <w:rPr>
          <w:rFonts w:hint="eastAsia" w:ascii="宋体" w:hAnsi="宋体" w:cs="宋体"/>
          <w:b/>
          <w:bCs/>
          <w:sz w:val="24"/>
          <w:szCs w:val="24"/>
        </w:rPr>
        <w:t>18.1供应商按第五部分“响应文件组成”编写响应文件。</w:t>
      </w:r>
    </w:p>
    <w:p w14:paraId="46661880">
      <w:pPr>
        <w:spacing w:line="360" w:lineRule="auto"/>
        <w:ind w:firstLine="480"/>
        <w:jc w:val="left"/>
        <w:rPr>
          <w:rFonts w:hint="eastAsia" w:ascii="宋体" w:hAnsi="宋体" w:cs="宋体"/>
          <w:b/>
          <w:bCs/>
          <w:sz w:val="24"/>
          <w:szCs w:val="24"/>
        </w:rPr>
      </w:pPr>
      <w:r>
        <w:rPr>
          <w:rFonts w:hint="eastAsia" w:ascii="宋体" w:hAnsi="宋体" w:cs="宋体"/>
          <w:b/>
          <w:bCs/>
          <w:sz w:val="24"/>
          <w:szCs w:val="24"/>
        </w:rPr>
        <w:t>18.2响应文件由供应商法定代表人或授权人签字并加盖单位电子签章（或红色实物章印）。</w:t>
      </w:r>
    </w:p>
    <w:p w14:paraId="55C6CFFF">
      <w:pPr>
        <w:spacing w:line="360" w:lineRule="auto"/>
        <w:ind w:firstLine="480"/>
        <w:jc w:val="left"/>
        <w:rPr>
          <w:rFonts w:hint="eastAsia" w:ascii="宋体" w:hAnsi="宋体" w:cs="宋体"/>
          <w:b/>
          <w:bCs/>
          <w:sz w:val="24"/>
        </w:rPr>
      </w:pPr>
      <w:r>
        <w:rPr>
          <w:rFonts w:hint="eastAsia" w:ascii="宋体" w:hAnsi="宋体" w:cs="宋体"/>
          <w:b/>
          <w:bCs/>
          <w:sz w:val="24"/>
          <w:szCs w:val="24"/>
        </w:rPr>
        <w:t>18.3本项目中标单位须在合同签订前提供一正三副的纸质响应文件（响应文件内所有材料均须加盖投标单位红色实物公章）送至代理单位。未在规定期限内提供纸质响应文件的，采购人有权取消其中标资格。</w:t>
      </w:r>
    </w:p>
    <w:p w14:paraId="47266040">
      <w:pPr>
        <w:jc w:val="left"/>
        <w:rPr>
          <w:rFonts w:hint="eastAsia" w:ascii="宋体" w:hAnsi="宋体" w:cs="宋体"/>
        </w:rPr>
      </w:pPr>
    </w:p>
    <w:p w14:paraId="26473F55">
      <w:pPr>
        <w:snapToGrid w:val="0"/>
        <w:spacing w:line="360" w:lineRule="auto"/>
        <w:ind w:left="-1" w:firstLine="321"/>
        <w:jc w:val="left"/>
        <w:rPr>
          <w:rFonts w:hint="eastAsia" w:ascii="宋体" w:hAnsi="宋体" w:cs="宋体"/>
          <w:b/>
          <w:sz w:val="32"/>
        </w:rPr>
      </w:pPr>
      <w:r>
        <w:rPr>
          <w:rFonts w:hint="eastAsia" w:ascii="宋体" w:hAnsi="宋体" w:cs="宋体"/>
          <w:b/>
          <w:sz w:val="32"/>
        </w:rPr>
        <w:t>四、投标响应文件的递交</w:t>
      </w:r>
    </w:p>
    <w:p w14:paraId="16556FA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19．响应文件的递交</w:t>
      </w:r>
    </w:p>
    <w:p w14:paraId="66AA2A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19.1投标人应当按照公共资源交易平台（http://www.rudong.net/web/index）——“项目投标方”《操作手册（投标人）》规定。在投标截止时间前制作并上传电子响应文件。</w:t>
      </w:r>
      <w:bookmarkStart w:id="2" w:name="_Toc20823298"/>
      <w:bookmarkStart w:id="3" w:name="_Toc16938542"/>
      <w:bookmarkStart w:id="4" w:name="_Toc513029226"/>
    </w:p>
    <w:p w14:paraId="293A88FF">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20.投标截止日期</w:t>
      </w:r>
      <w:bookmarkEnd w:id="2"/>
      <w:bookmarkEnd w:id="3"/>
      <w:bookmarkEnd w:id="4"/>
    </w:p>
    <w:p w14:paraId="45A66106">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20.1 投标人上传电子响应文件的时间不得迟于磋商公告中规定的投标截止时间。</w:t>
      </w:r>
    </w:p>
    <w:p w14:paraId="1AE4FA79">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投标人应充分考虑到网络环境、网络带宽等风险因素，如因投标人自身原因造成的电子响应文件上传不成功由投标人自行承担全部责任。</w:t>
      </w:r>
    </w:p>
    <w:p w14:paraId="5D69BEE2">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20.2 招标人可以按照规定，通过修改磋商文件酌情延长投标截止日期，在此情况下，投标人的所有权利和义务以及投标人受制的截止日期均应以延长后新的截止日期为准。</w:t>
      </w:r>
    </w:p>
    <w:p w14:paraId="3CCCD6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21．迟交的响应文件</w:t>
      </w:r>
    </w:p>
    <w:p w14:paraId="194E6DC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21.1 采购人将拒绝并退回在其规定的投标截止时间后收到的任何响应文件。</w:t>
      </w:r>
    </w:p>
    <w:p w14:paraId="70D7483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22．响应文件的修改和撤回</w:t>
      </w:r>
    </w:p>
    <w:p w14:paraId="0DFAFBD1">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22.1 响应文件的撤回</w:t>
      </w:r>
    </w:p>
    <w:p w14:paraId="709B487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22.1.1 电子响应文件的撤回</w:t>
      </w:r>
    </w:p>
    <w:p w14:paraId="1038826F">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投标人可在投标截止时间前，撤回其电子响应文件，具体操作方法见《操作手册（投标人）》。</w:t>
      </w:r>
    </w:p>
    <w:p w14:paraId="62F0979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22.1.2 投标人撤回电子响应文件，则认为其不再参与本项目投标活动。</w:t>
      </w:r>
    </w:p>
    <w:p w14:paraId="42F46FB2">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22.2 响应文件的修改</w:t>
      </w:r>
    </w:p>
    <w:p w14:paraId="366DD276">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投标人可在投标截止时间前，对其电子响应文件进行修改，具体操作方法见《操作手册（投标人）》。</w:t>
      </w:r>
    </w:p>
    <w:p w14:paraId="2E2FC7B1">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22.3 在投标截止时间之后，投标人不得对其电子响应文件作任何修改。</w:t>
      </w:r>
    </w:p>
    <w:p w14:paraId="7A0CAE6F">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szCs w:val="24"/>
        </w:rPr>
        <w:t>22.4 在投标截止时间至磋商文件中规定的投标有效期满之间的这段时间内，投标人不得撤回其投标。</w:t>
      </w:r>
    </w:p>
    <w:p w14:paraId="538CD00F">
      <w:pPr>
        <w:jc w:val="left"/>
        <w:rPr>
          <w:rFonts w:hint="eastAsia" w:ascii="宋体" w:hAnsi="宋体" w:cs="宋体"/>
        </w:rPr>
      </w:pPr>
    </w:p>
    <w:p w14:paraId="5C16B37A">
      <w:pPr>
        <w:snapToGrid w:val="0"/>
        <w:spacing w:line="360" w:lineRule="auto"/>
        <w:ind w:left="-1" w:firstLine="321"/>
        <w:jc w:val="left"/>
        <w:rPr>
          <w:rFonts w:hint="eastAsia" w:ascii="宋体" w:hAnsi="宋体" w:cs="宋体"/>
          <w:b/>
          <w:sz w:val="32"/>
        </w:rPr>
      </w:pPr>
      <w:r>
        <w:rPr>
          <w:rFonts w:hint="eastAsia" w:ascii="宋体" w:hAnsi="宋体" w:cs="宋体"/>
          <w:b/>
          <w:sz w:val="32"/>
        </w:rPr>
        <w:t>五、评审的程序和内容</w:t>
      </w:r>
    </w:p>
    <w:p w14:paraId="6DF03BF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23．开标</w:t>
      </w:r>
    </w:p>
    <w:p w14:paraId="34395B1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23.1交易中心将在磋商公告中规定的时间和地点组织公开开标。投标人应当在不见面开标的系统参加开标活动，在规定的时间内对响应文件进行解密。具体操作方法见《操作手册（投标人）》，具体查阅路径：公共资源交易平台（http://www.rudong.net/web/index）——“项目投标方”。</w:t>
      </w:r>
    </w:p>
    <w:p w14:paraId="1768F5B3">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23.2开标仪式由招标代理机构组织，在不见面开标的系统中进行开标，分两阶段进行，价格标开标时公布各投标人的《投标函》。</w:t>
      </w:r>
    </w:p>
    <w:p w14:paraId="30A6942B">
      <w:pPr>
        <w:spacing w:line="360" w:lineRule="auto"/>
        <w:ind w:firstLine="480"/>
        <w:jc w:val="left"/>
        <w:rPr>
          <w:rFonts w:hint="eastAsia" w:ascii="宋体" w:hAnsi="宋体" w:cs="宋体"/>
          <w:sz w:val="24"/>
        </w:rPr>
      </w:pPr>
      <w:r>
        <w:rPr>
          <w:rFonts w:hint="eastAsia" w:ascii="宋体" w:hAnsi="宋体" w:cs="宋体"/>
          <w:sz w:val="24"/>
          <w:szCs w:val="24"/>
        </w:rPr>
        <w:t>23.3投标人在开标过程中涉及到的响应文件解密、开标结果确认等工作，按照《操作手册（投标人）》执行。</w:t>
      </w:r>
    </w:p>
    <w:p w14:paraId="018EFBAF">
      <w:pPr>
        <w:keepNext/>
        <w:keepLines/>
        <w:spacing w:line="360" w:lineRule="auto"/>
        <w:ind w:firstLine="420"/>
        <w:jc w:val="left"/>
        <w:rPr>
          <w:rFonts w:hint="eastAsia" w:ascii="宋体" w:hAnsi="宋体" w:cs="宋体"/>
          <w:sz w:val="28"/>
        </w:rPr>
      </w:pPr>
      <w:r>
        <w:rPr>
          <w:rFonts w:hint="eastAsia" w:ascii="宋体" w:hAnsi="宋体" w:cs="宋体"/>
          <w:sz w:val="28"/>
        </w:rPr>
        <w:t>24．成立竞争性磋商小组</w:t>
      </w:r>
    </w:p>
    <w:p w14:paraId="655A15AE">
      <w:pPr>
        <w:snapToGrid w:val="0"/>
        <w:spacing w:line="360" w:lineRule="auto"/>
        <w:ind w:firstLine="480"/>
        <w:jc w:val="left"/>
        <w:rPr>
          <w:rFonts w:hint="eastAsia" w:ascii="宋体" w:hAnsi="宋体" w:cs="宋体"/>
          <w:sz w:val="24"/>
        </w:rPr>
      </w:pPr>
      <w:r>
        <w:rPr>
          <w:rFonts w:hint="eastAsia" w:ascii="宋体" w:hAnsi="宋体" w:cs="宋体"/>
          <w:sz w:val="24"/>
        </w:rPr>
        <w:t>24.1 磋商小组由评审专家、采购人代表组成，且人员构成符合政府采购有关规定。</w:t>
      </w:r>
    </w:p>
    <w:p w14:paraId="4BFE9B63">
      <w:pPr>
        <w:snapToGrid w:val="0"/>
        <w:spacing w:line="360" w:lineRule="auto"/>
        <w:ind w:firstLine="480"/>
        <w:jc w:val="left"/>
        <w:rPr>
          <w:rFonts w:hint="eastAsia" w:ascii="宋体" w:hAnsi="宋体" w:cs="宋体"/>
          <w:sz w:val="24"/>
        </w:rPr>
      </w:pPr>
      <w:r>
        <w:rPr>
          <w:rFonts w:hint="eastAsia" w:ascii="宋体" w:hAnsi="宋体" w:cs="宋体"/>
          <w:sz w:val="24"/>
        </w:rPr>
        <w:t>24.2 磋商小组应当按照客观、公正、审慎的原则，根据采购文件规定的评审程序、评审方法和评审标准进行独立评审。</w:t>
      </w:r>
    </w:p>
    <w:p w14:paraId="019C0ED8">
      <w:pPr>
        <w:snapToGrid w:val="0"/>
        <w:spacing w:line="360" w:lineRule="auto"/>
        <w:ind w:firstLine="480"/>
        <w:jc w:val="left"/>
        <w:rPr>
          <w:rFonts w:hint="eastAsia" w:ascii="宋体" w:hAnsi="宋体" w:cs="宋体"/>
          <w:sz w:val="24"/>
        </w:rPr>
      </w:pPr>
      <w:r>
        <w:rPr>
          <w:rFonts w:hint="eastAsia" w:ascii="宋体" w:hAnsi="宋体" w:cs="宋体"/>
          <w:sz w:val="24"/>
        </w:rPr>
        <w:t>24.3 磋商小组应当遵守评审工作纪律，不得泄露评审情况和评审中获悉的商业秘密。</w:t>
      </w:r>
    </w:p>
    <w:p w14:paraId="5AF21AD5">
      <w:pPr>
        <w:snapToGrid w:val="0"/>
        <w:spacing w:line="360" w:lineRule="auto"/>
        <w:ind w:firstLine="480"/>
        <w:jc w:val="left"/>
        <w:rPr>
          <w:rFonts w:hint="eastAsia" w:ascii="宋体" w:hAnsi="宋体" w:cs="宋体"/>
          <w:sz w:val="24"/>
        </w:rPr>
      </w:pPr>
      <w:r>
        <w:rPr>
          <w:rFonts w:hint="eastAsia" w:ascii="宋体" w:hAnsi="宋体" w:cs="宋体"/>
          <w:sz w:val="24"/>
        </w:rPr>
        <w:t>24.4 采购文件内容违反国家有关强制性规定的，磋商小组应当停止评审并向采购人或者采购代理机构说明情况。</w:t>
      </w:r>
    </w:p>
    <w:p w14:paraId="14FC3739">
      <w:pPr>
        <w:keepNext/>
        <w:keepLines/>
        <w:spacing w:line="360" w:lineRule="auto"/>
        <w:ind w:firstLine="420"/>
        <w:jc w:val="left"/>
        <w:rPr>
          <w:rFonts w:hint="eastAsia" w:ascii="宋体" w:hAnsi="宋体" w:cs="宋体"/>
          <w:b/>
          <w:sz w:val="28"/>
        </w:rPr>
      </w:pPr>
      <w:r>
        <w:rPr>
          <w:rFonts w:hint="eastAsia" w:ascii="宋体" w:hAnsi="宋体" w:cs="宋体"/>
          <w:sz w:val="28"/>
        </w:rPr>
        <w:t>25．</w:t>
      </w:r>
      <w:r>
        <w:rPr>
          <w:rFonts w:hint="eastAsia" w:ascii="宋体" w:hAnsi="宋体" w:cs="宋体"/>
          <w:b/>
          <w:sz w:val="28"/>
        </w:rPr>
        <w:t>评审程序、内容</w:t>
      </w:r>
    </w:p>
    <w:p w14:paraId="2ADF3C7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25.1公开开标后，直至向中标的投标人授予合同时止，凡是与审查、澄清、评价和比较投标的有关资料以及授标建议等，招标人、评委、招标代理机构均不得向投标人或与评标无关的其他人员透露。</w:t>
      </w:r>
    </w:p>
    <w:p w14:paraId="51200C0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25.2在评标过程中，投标人不得以任何行为影响评标过程，否则其响应文件将被作为无效响应文件。</w:t>
      </w:r>
    </w:p>
    <w:p w14:paraId="557B58F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25.3在评标期间，招标代理机构将设专门人员与投标人联系。</w:t>
      </w:r>
    </w:p>
    <w:p w14:paraId="7810DA7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25.4 招标代理机构和磋商小组不向未中标的投标人解释未中标原因，也不公布评标过程中的相关细节。</w:t>
      </w:r>
    </w:p>
    <w:p w14:paraId="3998EB4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25.5 采用综合评分法的项目，评标结果公布见如东限额交易网。</w:t>
      </w:r>
    </w:p>
    <w:p w14:paraId="3A87E97A">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26．投标的澄清</w:t>
      </w:r>
    </w:p>
    <w:p w14:paraId="0B14B481">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26.1评标期间，为有助于对响应文件的审查、评价和比较，磋商小组有权以电子函件形式要求投标人对其响应文件进行澄清，但并非对每个投标人都作澄清要求。</w:t>
      </w:r>
    </w:p>
    <w:p w14:paraId="345D81C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26.2接到磋商小组澄清要求的投标人应派人按磋商小组规定的时间和格式做出澄清，澄清的内容作为响应文件的补充部分，但投标的价格和实质性的内容不得做任何更改。</w:t>
      </w:r>
    </w:p>
    <w:p w14:paraId="0248324B">
      <w:pPr>
        <w:snapToGrid w:val="0"/>
        <w:spacing w:line="360" w:lineRule="auto"/>
        <w:ind w:firstLine="480"/>
        <w:jc w:val="left"/>
        <w:rPr>
          <w:rFonts w:hint="eastAsia" w:ascii="宋体" w:hAnsi="宋体" w:cs="宋体"/>
          <w:sz w:val="24"/>
        </w:rPr>
      </w:pPr>
      <w:r>
        <w:rPr>
          <w:rFonts w:hint="eastAsia" w:ascii="宋体" w:hAnsi="宋体" w:cs="宋体"/>
          <w:sz w:val="24"/>
          <w:szCs w:val="24"/>
        </w:rPr>
        <w:t>26.3 接到磋商小组澄清要求的投标人如未按规定做出澄清，其风险由投标人自行承担。</w:t>
      </w:r>
    </w:p>
    <w:p w14:paraId="26BE24EA">
      <w:pPr>
        <w:snapToGrid w:val="0"/>
        <w:spacing w:line="360" w:lineRule="auto"/>
        <w:ind w:firstLine="480"/>
        <w:jc w:val="left"/>
        <w:rPr>
          <w:rFonts w:hint="eastAsia" w:ascii="宋体" w:hAnsi="宋体" w:cs="宋体"/>
          <w:sz w:val="24"/>
        </w:rPr>
      </w:pPr>
      <w:r>
        <w:rPr>
          <w:rFonts w:hint="eastAsia" w:ascii="宋体" w:hAnsi="宋体" w:cs="宋体"/>
          <w:sz w:val="24"/>
        </w:rPr>
        <w:t>27.对响应文件的初审</w:t>
      </w:r>
    </w:p>
    <w:p w14:paraId="679AEB4A">
      <w:pPr>
        <w:spacing w:line="360" w:lineRule="auto"/>
        <w:ind w:firstLine="480"/>
        <w:rPr>
          <w:rFonts w:hint="eastAsia" w:ascii="宋体" w:hAnsi="宋体" w:cs="宋体"/>
          <w:bCs/>
          <w:sz w:val="24"/>
          <w:szCs w:val="24"/>
        </w:rPr>
      </w:pPr>
      <w:r>
        <w:rPr>
          <w:rFonts w:hint="eastAsia" w:ascii="宋体" w:hAnsi="宋体" w:cs="宋体"/>
          <w:bCs/>
          <w:sz w:val="24"/>
          <w:szCs w:val="24"/>
        </w:rPr>
        <w:t>响应文件初审分为资格性检查和符合性检查。</w:t>
      </w:r>
    </w:p>
    <w:p w14:paraId="3D417543">
      <w:pPr>
        <w:spacing w:line="360" w:lineRule="auto"/>
        <w:ind w:firstLine="480"/>
        <w:rPr>
          <w:rFonts w:hint="eastAsia" w:ascii="宋体" w:hAnsi="宋体" w:cs="宋体"/>
          <w:bCs/>
          <w:sz w:val="24"/>
          <w:szCs w:val="24"/>
        </w:rPr>
      </w:pPr>
      <w:r>
        <w:rPr>
          <w:rFonts w:hint="eastAsia" w:ascii="宋体" w:hAnsi="宋体" w:cs="宋体"/>
          <w:bCs/>
          <w:sz w:val="24"/>
          <w:szCs w:val="24"/>
        </w:rPr>
        <w:t>资格性检查：依据法律法规和磋商文件的规定，对响应文件中的资信证明文件、磋商保证金等进行审查，以确定供应商是否具备参加磋商的资格。</w:t>
      </w:r>
    </w:p>
    <w:p w14:paraId="133C5D17">
      <w:pPr>
        <w:spacing w:line="360" w:lineRule="auto"/>
        <w:ind w:firstLine="480"/>
        <w:rPr>
          <w:rFonts w:hint="eastAsia" w:ascii="宋体" w:hAnsi="宋体" w:cs="宋体"/>
          <w:bCs/>
          <w:sz w:val="24"/>
          <w:szCs w:val="24"/>
        </w:rPr>
      </w:pPr>
      <w:r>
        <w:rPr>
          <w:rFonts w:hint="eastAsia" w:ascii="宋体" w:hAnsi="宋体" w:cs="宋体"/>
          <w:bCs/>
          <w:sz w:val="24"/>
          <w:szCs w:val="24"/>
        </w:rPr>
        <w:t>符合性检查：依据磋商文件的规定，从响应文件的有效性、完整性和对磋商文件的响应程度进行审查，以确定是否对磋商文件的实质性要求作出响应。</w:t>
      </w:r>
    </w:p>
    <w:p w14:paraId="0DCBF55A">
      <w:pPr>
        <w:spacing w:line="360" w:lineRule="auto"/>
        <w:ind w:firstLine="480"/>
        <w:rPr>
          <w:rFonts w:hint="eastAsia" w:ascii="宋体" w:hAnsi="宋体" w:cs="宋体"/>
          <w:bCs/>
          <w:sz w:val="24"/>
          <w:szCs w:val="24"/>
        </w:rPr>
      </w:pPr>
      <w:r>
        <w:rPr>
          <w:rFonts w:hint="eastAsia" w:ascii="宋体" w:hAnsi="宋体" w:cs="宋体"/>
          <w:bCs/>
          <w:sz w:val="24"/>
          <w:szCs w:val="24"/>
        </w:rPr>
        <w:t>在正式磋商之前，磋商小组将首先审查每份响应文件是否实质性响应了磋商文件的要求。实质性响应的响应文件应该是与磋商文件要求的条款、条件和规格相符，没有重大负偏离或保留。</w:t>
      </w:r>
    </w:p>
    <w:p w14:paraId="649047CC">
      <w:pPr>
        <w:spacing w:line="360" w:lineRule="auto"/>
        <w:ind w:firstLine="480"/>
        <w:rPr>
          <w:rFonts w:hint="eastAsia" w:ascii="宋体" w:hAnsi="宋体" w:cs="宋体"/>
          <w:bCs/>
          <w:sz w:val="24"/>
          <w:szCs w:val="24"/>
        </w:rPr>
      </w:pPr>
      <w:r>
        <w:rPr>
          <w:rFonts w:hint="eastAsia" w:ascii="宋体" w:hAnsi="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E1F4F9A">
      <w:pPr>
        <w:spacing w:line="360" w:lineRule="auto"/>
        <w:ind w:firstLine="480"/>
        <w:rPr>
          <w:rFonts w:hint="eastAsia" w:ascii="宋体" w:hAnsi="宋体" w:cs="宋体"/>
          <w:bCs/>
          <w:sz w:val="24"/>
          <w:szCs w:val="24"/>
        </w:rPr>
      </w:pPr>
      <w:r>
        <w:rPr>
          <w:rFonts w:hint="eastAsia" w:ascii="宋体" w:hAnsi="宋体" w:cs="宋体"/>
          <w:bCs/>
          <w:sz w:val="24"/>
          <w:szCs w:val="24"/>
        </w:rPr>
        <w:t>未实质性响应磋商文件的响应文件按无效响应处理，磋商小组将予以拒绝，供应商不得通过修改或撤销不合要求的偏离或保留而使其响应文件成为实质性响应的文件。</w:t>
      </w:r>
    </w:p>
    <w:p w14:paraId="623D8F66">
      <w:pPr>
        <w:spacing w:line="360" w:lineRule="auto"/>
        <w:ind w:firstLine="480"/>
        <w:rPr>
          <w:rFonts w:hint="eastAsia" w:ascii="宋体" w:hAnsi="宋体" w:cs="宋体"/>
          <w:bCs/>
          <w:sz w:val="24"/>
          <w:szCs w:val="24"/>
        </w:rPr>
      </w:pPr>
      <w:r>
        <w:rPr>
          <w:rFonts w:hint="eastAsia" w:ascii="宋体" w:hAnsi="宋体" w:cs="宋体"/>
          <w:bCs/>
          <w:sz w:val="24"/>
          <w:szCs w:val="24"/>
        </w:rPr>
        <w:t>27.1对于通过资格性和符合性审查的供应商，磋商小组所有成员应当集中与单一供应商分别进行磋商，并给予所有参加磋商的供应商平等的磋商机会。</w:t>
      </w:r>
    </w:p>
    <w:p w14:paraId="6EB32EB1">
      <w:pPr>
        <w:spacing w:line="360" w:lineRule="auto"/>
        <w:ind w:firstLine="480"/>
        <w:rPr>
          <w:rFonts w:hint="eastAsia" w:ascii="宋体" w:hAnsi="宋体" w:cs="宋体"/>
          <w:bCs/>
          <w:sz w:val="24"/>
          <w:szCs w:val="24"/>
        </w:rPr>
      </w:pPr>
      <w:r>
        <w:rPr>
          <w:rFonts w:hint="eastAsia" w:ascii="宋体" w:hAnsi="宋体" w:cs="宋体"/>
          <w:bCs/>
          <w:sz w:val="24"/>
          <w:szCs w:val="24"/>
        </w:rPr>
        <w:t>27.2在磋商过程中，磋商小组可以根据磋商文件和磋商情况实质性变动采购需求中的技术、服务要求以及合同草案条款，但不得变动磋商文件中的其他内容。实质性变动的内容，须经采购人代表确认。</w:t>
      </w:r>
    </w:p>
    <w:p w14:paraId="6B13390E">
      <w:pPr>
        <w:spacing w:line="360" w:lineRule="auto"/>
        <w:ind w:firstLine="480"/>
        <w:rPr>
          <w:rFonts w:hint="eastAsia" w:ascii="宋体" w:hAnsi="宋体" w:cs="宋体"/>
          <w:bCs/>
          <w:sz w:val="24"/>
          <w:szCs w:val="24"/>
        </w:rPr>
      </w:pPr>
      <w:r>
        <w:rPr>
          <w:rFonts w:hint="eastAsia" w:ascii="宋体" w:hAnsi="宋体" w:cs="宋体"/>
          <w:bCs/>
          <w:sz w:val="24"/>
          <w:szCs w:val="24"/>
        </w:rPr>
        <w:t>对磋商文件作出的实质性变动是磋商文件的有效组成部分，磋商小组应当及时以书面形式同时通知所有参加磋商的供应商。</w:t>
      </w:r>
    </w:p>
    <w:p w14:paraId="5B80B88F">
      <w:pPr>
        <w:spacing w:line="360" w:lineRule="auto"/>
        <w:ind w:firstLine="480"/>
        <w:rPr>
          <w:rFonts w:hint="eastAsia" w:ascii="宋体" w:hAnsi="宋体" w:cs="宋体"/>
          <w:bCs/>
          <w:sz w:val="24"/>
          <w:szCs w:val="24"/>
        </w:rPr>
      </w:pPr>
      <w:r>
        <w:rPr>
          <w:rFonts w:hint="eastAsia" w:ascii="宋体" w:hAnsi="宋体" w:cs="宋体"/>
          <w:bCs/>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4352422">
      <w:pPr>
        <w:spacing w:line="360" w:lineRule="auto"/>
        <w:ind w:firstLine="482"/>
        <w:rPr>
          <w:rFonts w:hint="eastAsia" w:ascii="宋体" w:hAnsi="宋体" w:cs="宋体"/>
          <w:b/>
          <w:bCs/>
          <w:sz w:val="24"/>
          <w:szCs w:val="24"/>
        </w:rPr>
      </w:pPr>
      <w:r>
        <w:rPr>
          <w:rFonts w:hint="eastAsia" w:ascii="宋体" w:hAnsi="宋体" w:cs="宋体"/>
          <w:b/>
          <w:bCs/>
          <w:sz w:val="24"/>
          <w:szCs w:val="24"/>
        </w:rPr>
        <w:t>27.3磋商文件能够详细列明采购标的的技术、服务要求的，磋商结束后，磋商小组应当要求所有实质性响应的供应商在规定时间内提交最后报价。</w:t>
      </w:r>
    </w:p>
    <w:p w14:paraId="35B8128E">
      <w:pPr>
        <w:spacing w:line="360" w:lineRule="auto"/>
        <w:ind w:firstLine="480"/>
        <w:rPr>
          <w:rFonts w:hint="eastAsia" w:ascii="宋体" w:hAnsi="宋体" w:cs="宋体"/>
          <w:bCs/>
          <w:sz w:val="24"/>
          <w:szCs w:val="24"/>
        </w:rPr>
      </w:pPr>
      <w:r>
        <w:rPr>
          <w:rFonts w:hint="eastAsia" w:ascii="宋体" w:hAnsi="宋体" w:cs="宋体"/>
          <w:bCs/>
          <w:sz w:val="24"/>
          <w:szCs w:val="24"/>
        </w:rPr>
        <w:t>磋商文件不能详细列明采购标的技术、服务要求，需经磋商由供应商提供最终方案的，磋商结束后，磋商小组应当按照少数服从多数的原则投票确定出最终方案，并要求其在规定时间内提交最后报价。</w:t>
      </w:r>
    </w:p>
    <w:p w14:paraId="71ACA222">
      <w:pPr>
        <w:spacing w:line="360" w:lineRule="auto"/>
        <w:ind w:firstLine="482"/>
        <w:rPr>
          <w:rFonts w:hint="eastAsia" w:ascii="宋体" w:hAnsi="宋体" w:cs="宋体"/>
          <w:b/>
          <w:bCs/>
          <w:sz w:val="24"/>
          <w:szCs w:val="24"/>
        </w:rPr>
      </w:pPr>
      <w:r>
        <w:rPr>
          <w:rFonts w:hint="eastAsia" w:ascii="宋体" w:hAnsi="宋体" w:cs="宋体"/>
          <w:b/>
          <w:bCs/>
          <w:sz w:val="24"/>
          <w:szCs w:val="24"/>
        </w:rPr>
        <w:t>27.4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06D4D64F">
      <w:pPr>
        <w:spacing w:line="360" w:lineRule="auto"/>
        <w:ind w:firstLine="480"/>
        <w:rPr>
          <w:rFonts w:hint="eastAsia" w:ascii="宋体" w:hAnsi="宋体" w:cs="宋体"/>
          <w:bCs/>
          <w:sz w:val="24"/>
          <w:szCs w:val="24"/>
        </w:rPr>
      </w:pPr>
      <w:r>
        <w:rPr>
          <w:rFonts w:hint="eastAsia" w:ascii="宋体" w:hAnsi="宋体" w:cs="宋体"/>
          <w:bCs/>
          <w:sz w:val="24"/>
          <w:szCs w:val="24"/>
        </w:rPr>
        <w:t>（1）倡导诚实报价，如磋商文件没有重大修改的，最后报价不能高于第一次报价，高于的作无效报价处理。</w:t>
      </w:r>
    </w:p>
    <w:p w14:paraId="2E2E542A">
      <w:pPr>
        <w:spacing w:line="360" w:lineRule="auto"/>
        <w:ind w:firstLine="480"/>
        <w:jc w:val="left"/>
        <w:rPr>
          <w:rFonts w:ascii="宋体" w:cs="宋体"/>
          <w:kern w:val="0"/>
          <w:sz w:val="24"/>
          <w:szCs w:val="24"/>
          <w:lang w:val="zh-CN"/>
        </w:rPr>
      </w:pPr>
      <w:r>
        <w:rPr>
          <w:rFonts w:hint="eastAsia" w:ascii="宋体" w:hAnsi="宋体" w:cs="宋体"/>
          <w:bCs/>
          <w:sz w:val="24"/>
          <w:szCs w:val="24"/>
        </w:rPr>
        <w:t>（2）最后报价应包含本次项目的所有费用</w:t>
      </w:r>
      <w:r>
        <w:rPr>
          <w:rFonts w:hint="eastAsia" w:ascii="宋体" w:cs="宋体"/>
          <w:kern w:val="0"/>
          <w:sz w:val="24"/>
          <w:szCs w:val="24"/>
          <w:lang w:val="zh-CN"/>
        </w:rPr>
        <w:t>。</w:t>
      </w:r>
    </w:p>
    <w:p w14:paraId="425FA354">
      <w:pPr>
        <w:spacing w:line="360" w:lineRule="auto"/>
        <w:ind w:firstLine="480"/>
        <w:rPr>
          <w:rFonts w:hint="eastAsia" w:ascii="宋体" w:hAnsi="宋体" w:cs="宋体"/>
          <w:bCs/>
          <w:sz w:val="24"/>
          <w:szCs w:val="24"/>
        </w:rPr>
      </w:pPr>
      <w:r>
        <w:rPr>
          <w:rFonts w:hint="eastAsia" w:ascii="宋体" w:hAnsi="宋体" w:cs="宋体"/>
          <w:bCs/>
          <w:sz w:val="24"/>
          <w:szCs w:val="24"/>
        </w:rPr>
        <w:t>27.5</w:t>
      </w:r>
      <w:r>
        <w:rPr>
          <w:rFonts w:hint="eastAsia" w:ascii="宋体" w:hAnsi="宋体" w:cs="宋体"/>
          <w:b/>
          <w:bCs/>
          <w:sz w:val="24"/>
          <w:szCs w:val="24"/>
        </w:rPr>
        <w:t>已提交投标响应文件的供应商，在提交最后报价之前，可以根据磋商情况退出磋商。</w:t>
      </w:r>
    </w:p>
    <w:p w14:paraId="6A099FB6">
      <w:pPr>
        <w:snapToGrid w:val="0"/>
        <w:spacing w:line="360" w:lineRule="auto"/>
        <w:ind w:firstLine="480"/>
        <w:jc w:val="left"/>
        <w:rPr>
          <w:rFonts w:hint="eastAsia" w:ascii="宋体" w:hAnsi="宋体" w:cs="宋体"/>
          <w:sz w:val="24"/>
        </w:rPr>
      </w:pPr>
      <w:r>
        <w:rPr>
          <w:rFonts w:ascii="宋体" w:hAnsi="宋体" w:cs="宋体"/>
          <w:bCs/>
          <w:sz w:val="24"/>
          <w:szCs w:val="24"/>
        </w:rPr>
        <w:t>2</w:t>
      </w:r>
      <w:r>
        <w:rPr>
          <w:rFonts w:hint="eastAsia" w:ascii="宋体" w:hAnsi="宋体" w:cs="宋体"/>
          <w:bCs/>
          <w:sz w:val="24"/>
          <w:szCs w:val="24"/>
        </w:rPr>
        <w:t>7.6磋商时间由磋商小组掌握。</w:t>
      </w:r>
    </w:p>
    <w:p w14:paraId="0E40ECED">
      <w:pPr>
        <w:keepNext/>
        <w:keepLines/>
        <w:ind w:firstLine="314"/>
        <w:jc w:val="left"/>
        <w:rPr>
          <w:rFonts w:hint="eastAsia" w:ascii="宋体" w:hAnsi="宋体" w:cs="宋体"/>
          <w:sz w:val="28"/>
        </w:rPr>
      </w:pPr>
      <w:r>
        <w:rPr>
          <w:rFonts w:hint="eastAsia" w:ascii="宋体" w:hAnsi="宋体" w:cs="宋体"/>
          <w:sz w:val="28"/>
        </w:rPr>
        <w:t>28.无效投标条款和项目终止条款</w:t>
      </w:r>
    </w:p>
    <w:p w14:paraId="6BCDF179">
      <w:pPr>
        <w:spacing w:line="360" w:lineRule="auto"/>
        <w:ind w:firstLine="480"/>
        <w:jc w:val="left"/>
        <w:rPr>
          <w:rFonts w:hint="eastAsia" w:ascii="宋体" w:hAnsi="宋体" w:cs="宋体"/>
          <w:sz w:val="24"/>
        </w:rPr>
      </w:pPr>
      <w:r>
        <w:rPr>
          <w:rFonts w:hint="eastAsia" w:ascii="宋体" w:hAnsi="宋体" w:cs="宋体"/>
          <w:sz w:val="24"/>
        </w:rPr>
        <w:t>28.1无效投标条款：</w:t>
      </w:r>
    </w:p>
    <w:p w14:paraId="56B5A3B2">
      <w:pPr>
        <w:spacing w:line="360" w:lineRule="auto"/>
        <w:ind w:firstLine="480"/>
        <w:jc w:val="left"/>
        <w:rPr>
          <w:rFonts w:hint="eastAsia" w:ascii="宋体" w:hAnsi="宋体" w:cs="宋体"/>
          <w:sz w:val="24"/>
        </w:rPr>
      </w:pPr>
      <w:r>
        <w:rPr>
          <w:rFonts w:hint="eastAsia" w:ascii="宋体" w:hAnsi="宋体" w:cs="宋体"/>
          <w:sz w:val="24"/>
        </w:rPr>
        <w:t>（1）未按照采购文件规定要求签署、盖章的；投标响应文件未按规定的格式、内容和要求编制、投标文件模糊、无法辩认的；</w:t>
      </w:r>
    </w:p>
    <w:p w14:paraId="1155BD82">
      <w:pPr>
        <w:spacing w:line="360" w:lineRule="auto"/>
        <w:ind w:firstLine="480"/>
        <w:jc w:val="left"/>
        <w:rPr>
          <w:rFonts w:hint="eastAsia" w:ascii="宋体" w:hAnsi="宋体" w:cs="宋体"/>
          <w:sz w:val="24"/>
        </w:rPr>
      </w:pPr>
      <w:r>
        <w:rPr>
          <w:rFonts w:hint="eastAsia" w:ascii="宋体" w:hAnsi="宋体" w:cs="宋体"/>
          <w:sz w:val="24"/>
        </w:rPr>
        <w:t>（2）在报价时采用选择性报价；</w:t>
      </w:r>
    </w:p>
    <w:p w14:paraId="2153CF8A">
      <w:pPr>
        <w:spacing w:line="360" w:lineRule="auto"/>
        <w:ind w:firstLine="480"/>
        <w:jc w:val="left"/>
        <w:rPr>
          <w:rFonts w:hint="eastAsia" w:ascii="宋体" w:hAnsi="宋体" w:cs="宋体"/>
          <w:sz w:val="24"/>
        </w:rPr>
      </w:pPr>
      <w:r>
        <w:rPr>
          <w:rFonts w:hint="eastAsia" w:ascii="宋体" w:hAnsi="宋体" w:cs="宋体"/>
          <w:sz w:val="24"/>
        </w:rPr>
        <w:t>（3）不具备采购文件中规定资格要求的；</w:t>
      </w:r>
    </w:p>
    <w:p w14:paraId="274D9429">
      <w:pPr>
        <w:spacing w:line="360" w:lineRule="auto"/>
        <w:ind w:firstLine="480"/>
        <w:jc w:val="left"/>
        <w:rPr>
          <w:rFonts w:hint="eastAsia" w:ascii="宋体" w:hAnsi="宋体" w:cs="宋体"/>
          <w:sz w:val="24"/>
        </w:rPr>
      </w:pPr>
      <w:r>
        <w:rPr>
          <w:rFonts w:hint="eastAsia" w:ascii="宋体" w:hAnsi="宋体" w:cs="宋体"/>
          <w:sz w:val="24"/>
        </w:rPr>
        <w:t>（4）对采购文件未能作出全面实质性响应或对采购文件进行实质性修改的；</w:t>
      </w:r>
    </w:p>
    <w:p w14:paraId="6639B71E">
      <w:pPr>
        <w:spacing w:line="360" w:lineRule="auto"/>
        <w:ind w:firstLine="480"/>
        <w:jc w:val="left"/>
        <w:rPr>
          <w:rFonts w:hint="eastAsia" w:ascii="宋体" w:hAnsi="宋体" w:cs="宋体"/>
          <w:sz w:val="24"/>
        </w:rPr>
      </w:pPr>
      <w:r>
        <w:rPr>
          <w:rFonts w:hint="eastAsia" w:ascii="宋体" w:hAnsi="宋体" w:cs="宋体"/>
          <w:sz w:val="24"/>
        </w:rPr>
        <w:t>（5）不符合法律、法规和采购文件中规定的其他实质性要求的；</w:t>
      </w:r>
    </w:p>
    <w:p w14:paraId="4F32EC03">
      <w:pPr>
        <w:spacing w:line="360" w:lineRule="auto"/>
        <w:ind w:firstLine="480"/>
        <w:jc w:val="left"/>
        <w:rPr>
          <w:rFonts w:hint="eastAsia" w:ascii="宋体" w:hAnsi="宋体" w:cs="宋体"/>
          <w:sz w:val="24"/>
        </w:rPr>
      </w:pPr>
      <w:r>
        <w:rPr>
          <w:rFonts w:hint="eastAsia" w:ascii="宋体" w:hAnsi="宋体" w:cs="宋体"/>
          <w:sz w:val="24"/>
        </w:rPr>
        <w:t>（6）供应商有欺诈行为或隐瞒自身违规问题的，提供虚假材料的；</w:t>
      </w:r>
    </w:p>
    <w:p w14:paraId="6F95216E">
      <w:pPr>
        <w:spacing w:line="360" w:lineRule="auto"/>
        <w:ind w:firstLine="480"/>
        <w:jc w:val="left"/>
        <w:rPr>
          <w:rFonts w:hint="eastAsia" w:ascii="宋体" w:hAnsi="宋体" w:cs="宋体"/>
          <w:sz w:val="24"/>
        </w:rPr>
      </w:pPr>
      <w:r>
        <w:rPr>
          <w:rFonts w:hint="eastAsia" w:ascii="宋体" w:hAnsi="宋体" w:cs="宋体"/>
          <w:sz w:val="24"/>
        </w:rPr>
        <w:t>（7）不同供应商委托同一个人办理投标事宜的，不同供应商的投标文件载明的项目管理成员为同一人的，不同供应商的投标文件异常一致的；</w:t>
      </w:r>
    </w:p>
    <w:p w14:paraId="473059D8">
      <w:pPr>
        <w:spacing w:line="360" w:lineRule="auto"/>
        <w:ind w:firstLine="480"/>
        <w:jc w:val="left"/>
        <w:rPr>
          <w:rFonts w:hint="eastAsia" w:ascii="宋体" w:hAnsi="宋体" w:cs="宋体"/>
          <w:sz w:val="24"/>
        </w:rPr>
      </w:pPr>
      <w:r>
        <w:rPr>
          <w:rFonts w:hint="eastAsia" w:ascii="宋体" w:hAnsi="宋体" w:cs="宋体"/>
          <w:sz w:val="24"/>
        </w:rPr>
        <w:t>（8）投标人的投标报价高于本项目最高限价的；</w:t>
      </w:r>
    </w:p>
    <w:p w14:paraId="24F38811">
      <w:pPr>
        <w:spacing w:line="360" w:lineRule="auto"/>
        <w:ind w:firstLine="480"/>
        <w:jc w:val="left"/>
        <w:rPr>
          <w:rFonts w:hint="eastAsia" w:ascii="宋体" w:hAnsi="宋体" w:cs="宋体"/>
          <w:sz w:val="24"/>
        </w:rPr>
      </w:pPr>
      <w:r>
        <w:rPr>
          <w:rFonts w:hint="eastAsia" w:ascii="宋体" w:hAnsi="宋体" w:cs="宋体"/>
          <w:sz w:val="24"/>
        </w:rPr>
        <w:t>（9）投标报价表中的报价与分项报价明细表中总价不一致的；</w:t>
      </w:r>
    </w:p>
    <w:p w14:paraId="2DB7AA6D">
      <w:pPr>
        <w:spacing w:line="360" w:lineRule="auto"/>
        <w:ind w:firstLine="480"/>
        <w:jc w:val="left"/>
        <w:rPr>
          <w:rFonts w:hint="eastAsia" w:ascii="宋体" w:hAnsi="宋体" w:cs="宋体"/>
          <w:sz w:val="24"/>
        </w:rPr>
      </w:pPr>
      <w:r>
        <w:rPr>
          <w:rFonts w:hint="eastAsia" w:ascii="宋体" w:hAnsi="宋体" w:cs="宋体"/>
          <w:sz w:val="24"/>
        </w:rPr>
        <w:t>（10）投标人单位名称与报名时所登记的单位名称不符的。</w:t>
      </w:r>
    </w:p>
    <w:p w14:paraId="7A11DE8D">
      <w:pPr>
        <w:spacing w:line="360" w:lineRule="auto"/>
        <w:ind w:firstLine="480"/>
        <w:jc w:val="left"/>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1）其他法律、法规及本采购文件规定的属无效投标的情形。</w:t>
      </w:r>
    </w:p>
    <w:p w14:paraId="1A93C7F4">
      <w:pPr>
        <w:spacing w:line="360" w:lineRule="auto"/>
        <w:ind w:firstLine="480"/>
        <w:jc w:val="left"/>
        <w:rPr>
          <w:rFonts w:hint="eastAsia" w:ascii="宋体" w:hAnsi="宋体" w:cs="宋体"/>
          <w:sz w:val="24"/>
        </w:rPr>
      </w:pPr>
      <w:r>
        <w:rPr>
          <w:rFonts w:hint="eastAsia" w:ascii="宋体" w:hAnsi="宋体" w:cs="宋体"/>
          <w:sz w:val="24"/>
        </w:rPr>
        <w:t>24.2出现下列情形之一的，磋商终止：</w:t>
      </w:r>
    </w:p>
    <w:p w14:paraId="326A9184">
      <w:pPr>
        <w:spacing w:line="360" w:lineRule="auto"/>
        <w:ind w:firstLine="480"/>
        <w:jc w:val="left"/>
        <w:rPr>
          <w:rFonts w:hint="eastAsia" w:ascii="宋体" w:hAnsi="宋体" w:cs="宋体"/>
          <w:sz w:val="24"/>
        </w:rPr>
      </w:pPr>
      <w:r>
        <w:rPr>
          <w:rFonts w:hint="eastAsia" w:ascii="宋体" w:hAnsi="宋体" w:cs="宋体"/>
          <w:sz w:val="24"/>
        </w:rPr>
        <w:t>（1）因情况变化，不再符合规定的竞争性磋商采购方式适用情形的；</w:t>
      </w:r>
    </w:p>
    <w:p w14:paraId="3D5D3F6F">
      <w:pPr>
        <w:spacing w:line="360" w:lineRule="auto"/>
        <w:ind w:firstLine="480"/>
        <w:jc w:val="left"/>
        <w:rPr>
          <w:rFonts w:hint="eastAsia" w:ascii="宋体" w:hAnsi="宋体" w:cs="宋体"/>
          <w:sz w:val="24"/>
        </w:rPr>
      </w:pPr>
      <w:r>
        <w:rPr>
          <w:rFonts w:hint="eastAsia" w:ascii="宋体" w:hAnsi="宋体" w:cs="宋体"/>
          <w:sz w:val="24"/>
        </w:rPr>
        <w:t>（2）所有供应商的响应文件被磋商小组认定为无效的；</w:t>
      </w:r>
    </w:p>
    <w:p w14:paraId="3D574DEE">
      <w:pPr>
        <w:spacing w:line="360" w:lineRule="auto"/>
        <w:ind w:firstLine="480"/>
        <w:jc w:val="left"/>
        <w:rPr>
          <w:rFonts w:hint="eastAsia" w:ascii="宋体" w:hAnsi="宋体" w:cs="宋体"/>
          <w:sz w:val="24"/>
        </w:rPr>
      </w:pPr>
      <w:r>
        <w:rPr>
          <w:rFonts w:hint="eastAsia" w:ascii="宋体" w:hAnsi="宋体" w:cs="宋体"/>
          <w:sz w:val="24"/>
        </w:rPr>
        <w:t>（3）出现影响采购公正的违法、违规行为的；</w:t>
      </w:r>
    </w:p>
    <w:p w14:paraId="59557DAC">
      <w:pPr>
        <w:spacing w:line="360" w:lineRule="auto"/>
        <w:ind w:firstLine="480"/>
        <w:jc w:val="left"/>
        <w:rPr>
          <w:rFonts w:hint="eastAsia" w:ascii="宋体" w:hAnsi="宋体" w:cs="宋体"/>
          <w:sz w:val="24"/>
        </w:rPr>
      </w:pPr>
      <w:r>
        <w:rPr>
          <w:rFonts w:hint="eastAsia" w:ascii="宋体" w:hAnsi="宋体" w:cs="宋体"/>
          <w:sz w:val="24"/>
        </w:rPr>
        <w:t>（4）所有供应商的最后磋商报价超过最高限价的；</w:t>
      </w:r>
    </w:p>
    <w:p w14:paraId="3FC32400">
      <w:pPr>
        <w:spacing w:line="360" w:lineRule="auto"/>
        <w:ind w:firstLine="480"/>
        <w:jc w:val="left"/>
        <w:rPr>
          <w:rFonts w:hint="eastAsia" w:ascii="宋体" w:hAnsi="宋体" w:cs="宋体"/>
          <w:sz w:val="24"/>
        </w:rPr>
      </w:pPr>
      <w:r>
        <w:rPr>
          <w:rFonts w:hint="eastAsia" w:ascii="宋体" w:hAnsi="宋体" w:cs="宋体"/>
          <w:sz w:val="24"/>
        </w:rPr>
        <w:t>（5）因重大变故，采购任务取消的；</w:t>
      </w:r>
    </w:p>
    <w:p w14:paraId="3C48D8C9">
      <w:pPr>
        <w:spacing w:line="360" w:lineRule="auto"/>
        <w:ind w:firstLine="480"/>
        <w:jc w:val="left"/>
        <w:rPr>
          <w:rFonts w:hint="eastAsia" w:ascii="宋体" w:hAnsi="宋体" w:cs="宋体"/>
          <w:sz w:val="24"/>
        </w:rPr>
      </w:pPr>
      <w:r>
        <w:rPr>
          <w:rFonts w:hint="eastAsia" w:ascii="宋体" w:hAnsi="宋体" w:cs="宋体"/>
          <w:sz w:val="24"/>
        </w:rPr>
        <w:t>（6）项目发生重大变化，采购人暂时不能确定需求或供应商提供的产品和服务不能满足需求等。</w:t>
      </w:r>
    </w:p>
    <w:p w14:paraId="51B1671E">
      <w:pPr>
        <w:spacing w:line="360" w:lineRule="auto"/>
        <w:ind w:firstLine="480"/>
        <w:jc w:val="left"/>
        <w:rPr>
          <w:rFonts w:hint="eastAsia" w:ascii="宋体" w:hAnsi="宋体" w:cs="宋体"/>
          <w:sz w:val="24"/>
        </w:rPr>
      </w:pPr>
      <w:r>
        <w:rPr>
          <w:rFonts w:hint="eastAsia" w:ascii="宋体" w:hAnsi="宋体" w:cs="宋体"/>
          <w:sz w:val="24"/>
        </w:rPr>
        <w:t>28.3变更为其他方式招标的情形：</w:t>
      </w:r>
    </w:p>
    <w:p w14:paraId="1DCDCA69">
      <w:pPr>
        <w:spacing w:line="360" w:lineRule="auto"/>
        <w:ind w:firstLine="480"/>
        <w:jc w:val="left"/>
        <w:rPr>
          <w:rFonts w:hint="eastAsia" w:ascii="宋体" w:hAnsi="宋体" w:cs="宋体"/>
          <w:sz w:val="24"/>
        </w:rPr>
      </w:pPr>
      <w:r>
        <w:rPr>
          <w:rFonts w:hint="eastAsia" w:ascii="宋体" w:hAnsi="宋体" w:cs="宋体"/>
          <w:sz w:val="24"/>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采取其他方式继续组织采购。磋商文件中对供应商资质、技术等要求，将作为其他方式采购的基本要求和依据。原已经参加磋商并符合要求的供应商，根据自愿原则，参加其他方式采购。</w:t>
      </w:r>
    </w:p>
    <w:p w14:paraId="7ADACFD2">
      <w:pPr>
        <w:spacing w:line="360" w:lineRule="auto"/>
        <w:ind w:firstLine="480"/>
        <w:rPr>
          <w:rFonts w:hint="eastAsia" w:ascii="宋体" w:hAnsi="宋体" w:cs="宋体"/>
          <w:sz w:val="24"/>
          <w:szCs w:val="24"/>
        </w:rPr>
      </w:pPr>
      <w:r>
        <w:rPr>
          <w:rFonts w:hint="eastAsia" w:ascii="宋体" w:hAnsi="宋体" w:cs="宋体"/>
          <w:sz w:val="24"/>
          <w:szCs w:val="24"/>
        </w:rPr>
        <w:t>28.3变更为其他方式采购的情形</w:t>
      </w:r>
    </w:p>
    <w:p w14:paraId="3763958A">
      <w:pPr>
        <w:adjustRightInd w:val="0"/>
        <w:snapToGrid w:val="0"/>
        <w:spacing w:line="360" w:lineRule="auto"/>
        <w:ind w:firstLine="420"/>
        <w:rPr>
          <w:rFonts w:hint="eastAsia" w:ascii="宋体" w:hAnsi="宋体" w:cs="宋体"/>
          <w:sz w:val="24"/>
          <w:szCs w:val="24"/>
        </w:rPr>
      </w:pPr>
      <w:r>
        <w:rPr>
          <w:rFonts w:hint="eastAsia" w:ascii="宋体" w:hAnsi="宋体" w:cs="宋体"/>
          <w:b/>
          <w:sz w:val="24"/>
          <w:szCs w:val="24"/>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况采取其他方式继续组织采购。磋商文件中对供应商资质、技术等要求，将作为其他方式采购的基本要求和依据。原已经参加磋商并符合要求的供应商，根据自愿原则，参加其他方式采购。</w:t>
      </w:r>
    </w:p>
    <w:p w14:paraId="026C987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六、定标</w:t>
      </w:r>
    </w:p>
    <w:p w14:paraId="1B22C69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29．确定中标单位</w:t>
      </w:r>
    </w:p>
    <w:p w14:paraId="20290D7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29.1磋商小组将仅对按照本须知有关规定确定为实质上响应磋商文件要求的响应文件进行评价和比较。</w:t>
      </w:r>
    </w:p>
    <w:p w14:paraId="61F53ADB">
      <w:pPr>
        <w:adjustRightInd w:val="0"/>
        <w:snapToGrid w:val="0"/>
        <w:spacing w:line="360" w:lineRule="auto"/>
        <w:ind w:firstLine="480" w:firstLineChars="200"/>
        <w:jc w:val="left"/>
        <w:rPr>
          <w:rFonts w:hint="eastAsia" w:ascii="宋体" w:hAnsi="宋体" w:cs="宋体"/>
          <w:b/>
          <w:sz w:val="24"/>
          <w:szCs w:val="24"/>
        </w:rPr>
      </w:pPr>
      <w:r>
        <w:rPr>
          <w:rFonts w:hint="eastAsia" w:ascii="宋体" w:hAnsi="宋体" w:cs="宋体"/>
          <w:sz w:val="24"/>
          <w:szCs w:val="24"/>
        </w:rPr>
        <w:t>29.2评价和比较采用</w:t>
      </w:r>
      <w:r>
        <w:rPr>
          <w:rFonts w:hint="eastAsia" w:ascii="宋体" w:hAnsi="宋体" w:cs="宋体"/>
          <w:b/>
          <w:sz w:val="24"/>
          <w:szCs w:val="24"/>
          <w:u w:val="single"/>
        </w:rPr>
        <w:t>综合评分法</w:t>
      </w:r>
      <w:r>
        <w:rPr>
          <w:rFonts w:hint="eastAsia" w:ascii="宋体" w:hAnsi="宋体" w:cs="宋体"/>
          <w:b/>
          <w:sz w:val="24"/>
          <w:szCs w:val="24"/>
        </w:rPr>
        <w:t>，即在最大限度地满足磋商文件实质性要求前提下，按照磋商文件规定的各项因素进行综合评审后，向采购人推荐出不少于三名中标候选人。任何单项因素的最优不能作为中标、成交的保证。</w:t>
      </w:r>
    </w:p>
    <w:p w14:paraId="17DFD41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29.3采购人根据磋商小组推荐的中标候选人（多名候选人的根据排名顺序依次）确定</w:t>
      </w:r>
      <w:r>
        <w:rPr>
          <w:rFonts w:hint="eastAsia" w:ascii="宋体" w:hAnsi="宋体" w:cs="宋体"/>
          <w:b/>
          <w:bCs/>
          <w:sz w:val="24"/>
          <w:szCs w:val="24"/>
        </w:rPr>
        <w:t>一名</w:t>
      </w:r>
      <w:r>
        <w:rPr>
          <w:rFonts w:hint="eastAsia" w:ascii="宋体" w:hAnsi="宋体" w:cs="宋体"/>
          <w:sz w:val="24"/>
          <w:szCs w:val="24"/>
        </w:rPr>
        <w:t>中标人。</w:t>
      </w:r>
    </w:p>
    <w:p w14:paraId="00D8BC8C">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29.4评审结束后，中标人名单将在“如东县限额交易网”媒体进行公示，公示时间为1个工作日。</w:t>
      </w:r>
    </w:p>
    <w:p w14:paraId="15C5E4D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29.5若有充分证据证明，中标人出现下列情况之一的，一经查实，将被取消中标资格：</w:t>
      </w:r>
    </w:p>
    <w:p w14:paraId="63E88C0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（1）提供虚假材料谋取中标的；</w:t>
      </w:r>
    </w:p>
    <w:p w14:paraId="6B50ED4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（2）与评审专家、采购人、其他供应商或者采购人工作人员恶意串通的；</w:t>
      </w:r>
    </w:p>
    <w:p w14:paraId="1AABA133">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（3）向评审专家、采购人或采购人工作人员行贿或者提供其他不正当利益的；</w:t>
      </w:r>
    </w:p>
    <w:p w14:paraId="4553E44A">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14:paraId="3E69BEA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（5）不满足本磋商文件规定的实质性要求，但在评标过程中又未被磋商小组发现的；</w:t>
      </w:r>
    </w:p>
    <w:p w14:paraId="79C3E95A">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（6）不符合法律、法规的规定的其他情形。</w:t>
      </w:r>
    </w:p>
    <w:p w14:paraId="6BDC15F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在此情况下一经认定，报经政府采购监督管理部门批准，采购人有权重新组织采购。</w:t>
      </w:r>
    </w:p>
    <w:p w14:paraId="75443AC9">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30．质疑处理</w:t>
      </w:r>
    </w:p>
    <w:p w14:paraId="559033E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30.1投标人认为采购文件、采购过程和采购结果使自己的权益受到损害的，可以在知道或应知其权益受到损害之日起七个工作日内，以书面形式向采购人提出质疑。上述应知其权益受到损害之日，是指：</w:t>
      </w:r>
    </w:p>
    <w:p w14:paraId="1824A4C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（1）对可以质疑的采购文件提出质疑的，为收到采购文件之日或者采购文件公告期限届满之日；</w:t>
      </w:r>
    </w:p>
    <w:p w14:paraId="50D30B9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（2）对采购过程提出质疑的，为各采购程序环节结束之日；</w:t>
      </w:r>
    </w:p>
    <w:p w14:paraId="4B6F6AE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（3）对成交结果提出质疑的，为成交结果公告期限届满之日。</w:t>
      </w:r>
    </w:p>
    <w:p w14:paraId="0C6506B9">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30.2质疑必须按《政府采购法》、《政府采购法实施条例》及《江苏省政府采购供应商监督管理暂行办法》的相关规定提交，未按上述要求提交的质疑函（含传真、电子邮件等）采购人有权不予受理。</w:t>
      </w:r>
    </w:p>
    <w:p w14:paraId="1ABFA2C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30.3未参加采购活动的供应商或在采购活动中自身权益未受到损害的供应商所提出的质疑不予受理。</w:t>
      </w:r>
    </w:p>
    <w:p w14:paraId="44D46F4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30.4质疑函应当包括下列内容：</w:t>
      </w:r>
    </w:p>
    <w:p w14:paraId="24BDDF7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（1）质疑供应商的名称、地址、邮编、联系人、联系电话；</w:t>
      </w:r>
    </w:p>
    <w:p w14:paraId="2332CEE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（2）具体的质疑事项及明确的请求；</w:t>
      </w:r>
    </w:p>
    <w:p w14:paraId="6F38DC6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736CE6E9">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（4）提起质疑的日期；</w:t>
      </w:r>
    </w:p>
    <w:p w14:paraId="33E3642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35869246">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30.5采购人收到质疑函后，将对质疑的形式和内容进行审查，如质疑函内容、格式不符合规定，采购人将告知质疑人进行补正。</w:t>
      </w:r>
    </w:p>
    <w:p w14:paraId="06A65A4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30.6质疑人应当在法定质疑期限内进行补正并重新提交质疑函，拒不补正或者在法定期限内未重新提交质疑函的，为无效质疑，采购人将不予受理。</w:t>
      </w:r>
    </w:p>
    <w:p w14:paraId="36E311C4">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30.7对于内容、格式符合规定的质疑函，采购人将在收到参加投标人的书面质疑后七个工作日内作出答复，并以书面形式通知质疑供应商和其他相关供应商，答复的内容不涉及商业秘密。</w:t>
      </w:r>
    </w:p>
    <w:p w14:paraId="402D653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30.8供应商提出书面质疑必须有理、有据，不得恶意质疑或提交虚假质疑。否则，一经查实，采购人有权依据政府采购的有关规定，报请政府采购监管部门对该供应商进行相应的行政处罚。</w:t>
      </w:r>
    </w:p>
    <w:p w14:paraId="2890E71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31．中标通知书</w:t>
      </w:r>
    </w:p>
    <w:p w14:paraId="59FE3DB6">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31.1中标结果质疑期满后，采购人将向中标供应商发出中标通知书。</w:t>
      </w:r>
    </w:p>
    <w:p w14:paraId="09925F9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31.2 中标供应商收到中标通知书后，须立即以书面形式回复采购人，确认中标通知书已收到。</w:t>
      </w:r>
    </w:p>
    <w:p w14:paraId="4F69C99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31.3中标通知书将是合同的一个组成部分。对采购人和中标供应商均具有法律效力。中标通知书发出后，中标供应商放弃中标项目的，应当依法承担法律责任。</w:t>
      </w:r>
    </w:p>
    <w:p w14:paraId="2868A138">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七、授予合同</w:t>
      </w:r>
    </w:p>
    <w:p w14:paraId="50FDAD9F">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32．签订合同</w:t>
      </w:r>
    </w:p>
    <w:p w14:paraId="2EFA832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32.1中标人必须按中标通知书规定的时间、地点,按照磋商文件确定的事项签订政府采购合同，且不得迟于中标通知书发出之日起十五日内。对于满足合同约定支付条件的，采购人自收到发票后15日内将资金支付到合同约定的供应商账户。</w:t>
      </w:r>
    </w:p>
    <w:p w14:paraId="5B865991">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32.2 磋商文件、中标人的响应文件及招标过程中有关澄清、承诺文件均应作为合同附件。</w:t>
      </w:r>
    </w:p>
    <w:p w14:paraId="4C26E6D1">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32.3在合同签订之前，采购人有权对中标单位的履约能力进行最后审查，审查方式包括询问、调查和实地考察，如发现中标单位提供的材料虚假或对标书所要求说明的情况故意隐瞒或虚报，则招标采购人有权取消其签约资格，没收其投标保证金，并在标书有效期内另行评定中标者，或重新招标。</w:t>
      </w:r>
    </w:p>
    <w:p w14:paraId="0B71C349">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32.4签订合同后，中标人不得将货物及其他相关服务进行转包。未经采购人同意，中标人也不得随意采用分包的形式履行合同，否则采购人有权终止合同。转包或分包造成采购人损失的，中标人应承担相应赔偿责任。</w:t>
      </w:r>
    </w:p>
    <w:p w14:paraId="265D7574">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33．货物和服务的追加、调减</w:t>
      </w:r>
    </w:p>
    <w:p w14:paraId="6A6FA3E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33.1政府采购合同履行中，需追加与合同标的相同的货物和服务的，在不改变价格水平、合同及其他条款的前提下，采购人可以与中标人协商签订补充合同。</w:t>
      </w:r>
    </w:p>
    <w:p w14:paraId="57EEC62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33.2采购结束后，采购人若由于各种客观原因，必须对采购项目所牵涉的货物和服务进行适当的减少时，在双方协商一致的前提下，可以按照招标采购时的价格水平做相应的调减，并据此签订补充合同。</w:t>
      </w:r>
    </w:p>
    <w:p w14:paraId="7E35AB93">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33.3项目结束后，采购人若由于各种客观原因，必须对采购项目所牵涉的货物和服务进行适当的添购时，由于须保证原有采购项目一致性或者服务配套的要求，必须符合《政府采购法》的规定并经相关部门批准，可以继续从中标人处按照单一来源采购的方式进行添购，且所牵涉的货物和服务的价格水平不得超过本次竞争性磋商的水平且低于当时的社会平均价。货物和服务的添购，应在本次政府采购合同的基础上，另行签订货物和服务的添购合同。</w:t>
      </w:r>
    </w:p>
    <w:p w14:paraId="6C041093">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33.4投标人如对本磋商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w:t>
      </w:r>
    </w:p>
    <w:p w14:paraId="72FCC01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34.履约保证金</w:t>
      </w:r>
    </w:p>
    <w:p w14:paraId="65618FA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34.1成交供应商在收到中标通知书后，须按磋商文件要求提交中标价的3%的履约保证金，交到采购人指定账户。履约保证金用以约束供应商在合同履行中的行为，弥补合同执行中由于自身行为可能给采购人带来的各种损失。如果成交供应商不同意按照规定去做，采购人有权取消本次采购中标决定。在此情况下，报请政府采购监管部门，采购人可重新采购。</w:t>
      </w:r>
      <w:bookmarkStart w:id="5" w:name="_Toc200451963"/>
      <w:bookmarkStart w:id="6" w:name="_Toc29743"/>
    </w:p>
    <w:p w14:paraId="6AD142D9">
      <w:pPr>
        <w:spacing w:line="360" w:lineRule="auto"/>
        <w:ind w:firstLine="480"/>
        <w:jc w:val="left"/>
        <w:rPr>
          <w:rFonts w:hint="eastAsia" w:ascii="宋体" w:hAnsi="宋体" w:cs="宋体"/>
          <w:sz w:val="24"/>
        </w:rPr>
      </w:pPr>
      <w:r>
        <w:rPr>
          <w:rFonts w:hint="eastAsia" w:ascii="宋体" w:hAnsi="宋体" w:cs="宋体"/>
          <w:sz w:val="24"/>
          <w:szCs w:val="24"/>
        </w:rPr>
        <w:t>34.</w:t>
      </w:r>
      <w:bookmarkEnd w:id="5"/>
      <w:r>
        <w:rPr>
          <w:rFonts w:hint="eastAsia" w:ascii="宋体" w:hAnsi="宋体" w:cs="宋体"/>
          <w:sz w:val="24"/>
          <w:szCs w:val="24"/>
        </w:rPr>
        <w:t>2</w:t>
      </w:r>
      <w:bookmarkEnd w:id="6"/>
      <w:r>
        <w:rPr>
          <w:rFonts w:hint="eastAsia" w:ascii="宋体" w:hAnsi="宋体" w:cs="宋体"/>
          <w:sz w:val="24"/>
          <w:szCs w:val="24"/>
        </w:rPr>
        <w:t>履约保证金的退还：需要交纳履约保证金的项目在合同履行结束后，成交供应商凭采购人签署的同意退还履约保证金的证明（证明格式自定,加盖采购单位公章）、履约保证金收条原件，办理保证金退还手续，履约保证金予以全额无息退还。</w:t>
      </w:r>
    </w:p>
    <w:p w14:paraId="78FE73B8">
      <w:pPr>
        <w:spacing w:before="60" w:after="60" w:line="400" w:lineRule="atLeast"/>
        <w:outlineLvl w:val="1"/>
        <w:rPr>
          <w:rFonts w:ascii="Times New Roman" w:hAnsi="Times New Roman" w:eastAsia="宋体" w:cs="Times New Roman"/>
          <w:b/>
          <w:bCs/>
          <w:sz w:val="24"/>
          <w:szCs w:val="24"/>
        </w:rPr>
      </w:pPr>
    </w:p>
    <w:p w14:paraId="54AA4178">
      <w:pPr>
        <w:spacing w:before="60" w:after="60" w:line="400" w:lineRule="atLeast"/>
        <w:outlineLvl w:val="1"/>
        <w:rPr>
          <w:rFonts w:ascii="Times New Roman" w:hAnsi="Times New Roman" w:eastAsia="宋体" w:cs="Times New Roman"/>
          <w:b/>
          <w:bCs/>
          <w:sz w:val="24"/>
          <w:szCs w:val="24"/>
        </w:rPr>
      </w:pPr>
    </w:p>
    <w:p w14:paraId="229E7A87">
      <w:pPr>
        <w:spacing w:before="60" w:after="60" w:line="400" w:lineRule="atLeast"/>
        <w:outlineLvl w:val="1"/>
        <w:rPr>
          <w:rFonts w:ascii="Times New Roman" w:hAnsi="Times New Roman" w:eastAsia="宋体" w:cs="Times New Roman"/>
          <w:b/>
          <w:bCs/>
          <w:sz w:val="24"/>
          <w:szCs w:val="24"/>
        </w:rPr>
      </w:pPr>
    </w:p>
    <w:p w14:paraId="34CF5008">
      <w:pPr>
        <w:spacing w:before="60" w:after="60" w:line="400" w:lineRule="atLeast"/>
        <w:outlineLvl w:val="1"/>
        <w:rPr>
          <w:rFonts w:ascii="Times New Roman" w:hAnsi="Times New Roman" w:eastAsia="宋体" w:cs="Times New Roman"/>
          <w:b/>
          <w:bCs/>
          <w:sz w:val="24"/>
          <w:szCs w:val="24"/>
        </w:rPr>
      </w:pPr>
    </w:p>
    <w:p w14:paraId="103E0539">
      <w:pPr>
        <w:pStyle w:val="4"/>
        <w:rPr>
          <w:sz w:val="24"/>
          <w:szCs w:val="24"/>
        </w:rPr>
      </w:pPr>
    </w:p>
    <w:p w14:paraId="365B05AB">
      <w:pPr>
        <w:rPr>
          <w:rFonts w:ascii="Times New Roman" w:hAnsi="Times New Roman" w:eastAsia="宋体" w:cs="Times New Roman"/>
          <w:b/>
          <w:bCs/>
          <w:sz w:val="24"/>
          <w:szCs w:val="24"/>
        </w:rPr>
      </w:pPr>
    </w:p>
    <w:p w14:paraId="5CF5402B">
      <w:pPr>
        <w:pStyle w:val="4"/>
        <w:rPr>
          <w:sz w:val="24"/>
          <w:szCs w:val="24"/>
        </w:rPr>
      </w:pPr>
    </w:p>
    <w:p w14:paraId="47ABA3A9">
      <w:pPr>
        <w:rPr>
          <w:rFonts w:ascii="Times New Roman" w:hAnsi="Times New Roman" w:eastAsia="宋体" w:cs="Times New Roman"/>
          <w:b/>
          <w:bCs/>
          <w:sz w:val="24"/>
          <w:szCs w:val="24"/>
        </w:rPr>
      </w:pPr>
    </w:p>
    <w:p w14:paraId="1EB275C5">
      <w:pPr>
        <w:pStyle w:val="4"/>
      </w:pPr>
    </w:p>
    <w:p w14:paraId="3F5CC535">
      <w:pPr>
        <w:spacing w:before="60" w:after="60" w:line="400" w:lineRule="atLeast"/>
        <w:outlineLvl w:val="1"/>
        <w:rPr>
          <w:rFonts w:ascii="Times New Roman" w:hAnsi="Times New Roman" w:eastAsia="宋体" w:cs="Times New Roman"/>
          <w:b/>
          <w:bCs/>
          <w:sz w:val="24"/>
          <w:szCs w:val="24"/>
        </w:rPr>
      </w:pPr>
    </w:p>
    <w:p w14:paraId="65065665">
      <w:pPr>
        <w:spacing w:before="60" w:after="60" w:line="400" w:lineRule="atLeast"/>
        <w:outlineLvl w:val="1"/>
        <w:rPr>
          <w:rFonts w:ascii="Times New Roman" w:hAnsi="Times New Roman" w:eastAsia="宋体" w:cs="Times New Roman"/>
          <w:b/>
          <w:bCs/>
          <w:sz w:val="24"/>
          <w:szCs w:val="24"/>
        </w:rPr>
      </w:pPr>
    </w:p>
    <w:p w14:paraId="3F2D6038">
      <w:pPr>
        <w:pStyle w:val="4"/>
      </w:pPr>
    </w:p>
    <w:p w14:paraId="4AD12407"/>
    <w:p w14:paraId="545FF8A8">
      <w:pPr>
        <w:pStyle w:val="4"/>
      </w:pPr>
    </w:p>
    <w:p w14:paraId="00D33641"/>
    <w:p w14:paraId="41D4FA56">
      <w:pPr>
        <w:spacing w:before="60" w:after="60" w:line="400" w:lineRule="atLeast"/>
        <w:outlineLvl w:val="1"/>
        <w:rPr>
          <w:rFonts w:ascii="Times New Roman" w:hAnsi="Times New Roman" w:eastAsia="宋体" w:cs="Times New Roman"/>
          <w:b/>
          <w:bCs/>
          <w:sz w:val="24"/>
          <w:szCs w:val="24"/>
        </w:rPr>
      </w:pPr>
    </w:p>
    <w:p w14:paraId="22947ADB">
      <w:pPr>
        <w:spacing w:before="60" w:after="60" w:line="400" w:lineRule="atLeast"/>
        <w:outlineLvl w:val="1"/>
        <w:rPr>
          <w:rFonts w:ascii="Times New Roman" w:hAnsi="Times New Roman" w:eastAsia="宋体" w:cs="Times New Roman"/>
          <w:b/>
          <w:bCs/>
          <w:sz w:val="24"/>
          <w:szCs w:val="24"/>
        </w:rPr>
      </w:pPr>
    </w:p>
    <w:p w14:paraId="3539D8AF">
      <w:pPr>
        <w:pStyle w:val="6"/>
        <w:jc w:val="center"/>
      </w:pPr>
      <w:r>
        <w:rPr>
          <w:rFonts w:ascii="仿宋" w:hAnsi="仿宋" w:eastAsia="仿宋"/>
          <w:sz w:val="44"/>
          <w:szCs w:val="44"/>
        </w:rPr>
        <w:t>第三章 项目需求</w:t>
      </w:r>
    </w:p>
    <w:p w14:paraId="6F918139">
      <w:pPr>
        <w:spacing w:line="360" w:lineRule="auto"/>
        <w:outlineLvl w:val="1"/>
        <w:rPr>
          <w:rFonts w:hint="eastAsia" w:ascii="宋体" w:hAnsi="宋体" w:eastAsia="宋体"/>
          <w:b/>
          <w:bCs/>
          <w:sz w:val="24"/>
          <w:szCs w:val="21"/>
        </w:rPr>
      </w:pPr>
      <w:r>
        <w:rPr>
          <w:rFonts w:hint="eastAsia" w:ascii="宋体" w:hAnsi="宋体" w:eastAsia="宋体"/>
          <w:b/>
          <w:bCs/>
          <w:sz w:val="24"/>
          <w:szCs w:val="21"/>
        </w:rPr>
        <w:t>一、项目概况</w:t>
      </w:r>
    </w:p>
    <w:p w14:paraId="3C175627">
      <w:pPr>
        <w:spacing w:line="360" w:lineRule="auto"/>
        <w:outlineLvl w:val="2"/>
        <w:rPr>
          <w:rFonts w:hint="eastAsia" w:ascii="宋体" w:hAnsi="宋体" w:eastAsia="宋体"/>
          <w:b/>
          <w:bCs/>
          <w:color w:val="000000"/>
          <w:sz w:val="24"/>
          <w:szCs w:val="21"/>
        </w:rPr>
      </w:pPr>
      <w:r>
        <w:rPr>
          <w:rFonts w:hint="eastAsia" w:ascii="宋体" w:hAnsi="宋体" w:eastAsia="宋体"/>
          <w:b/>
          <w:bCs/>
          <w:color w:val="000000"/>
          <w:sz w:val="24"/>
          <w:szCs w:val="21"/>
        </w:rPr>
        <w:t>1.1项目背景</w:t>
      </w:r>
    </w:p>
    <w:p w14:paraId="6650E61D">
      <w:pPr>
        <w:spacing w:before="120" w:line="360" w:lineRule="auto"/>
        <w:ind w:firstLine="420" w:firstLineChars="200"/>
        <w:rPr>
          <w:rFonts w:hint="eastAsia" w:ascii="宋体" w:hAnsi="宋体" w:eastAsia="宋体" w:cs="宋体"/>
          <w:color w:val="000000"/>
          <w:kern w:val="0"/>
          <w:szCs w:val="21"/>
          <w:u w:color="000000"/>
          <w:lang w:val="zh-CN" w:bidi="zh-CN"/>
        </w:rPr>
      </w:pPr>
      <w:r>
        <w:rPr>
          <w:rFonts w:hint="eastAsia" w:ascii="宋体" w:hAnsi="宋体" w:eastAsia="宋体"/>
          <w:szCs w:val="21"/>
        </w:rPr>
        <w:t>为实现基于可靠电子签名的医疗业务可信化服务应用，保障</w:t>
      </w:r>
      <w:r>
        <w:rPr>
          <w:rFonts w:ascii="宋体" w:hAnsi="宋体" w:eastAsia="宋体"/>
          <w:szCs w:val="21"/>
        </w:rPr>
        <w:t>HIS系统、EMR系统、LIS系统、PACS系统</w:t>
      </w:r>
      <w:r>
        <w:rPr>
          <w:rFonts w:hint="eastAsia" w:ascii="宋体" w:hAnsi="宋体" w:eastAsia="宋体"/>
          <w:szCs w:val="21"/>
        </w:rPr>
        <w:t>等</w:t>
      </w:r>
      <w:r>
        <w:rPr>
          <w:rFonts w:ascii="宋体" w:hAnsi="宋体" w:eastAsia="宋体"/>
          <w:szCs w:val="21"/>
        </w:rPr>
        <w:t>医疗业务信息安全，实现电子病历文书合法化。依据《卫生系统电子认证服务管理办法（试行）》、《医疗机构病历管理规定(2013年版）》及相关标准规范要求，</w:t>
      </w:r>
      <w:r>
        <w:rPr>
          <w:rFonts w:hint="eastAsia" w:ascii="宋体" w:hAnsi="宋体" w:eastAsia="宋体" w:cs="宋体"/>
          <w:color w:val="000000"/>
          <w:kern w:val="0"/>
          <w:szCs w:val="21"/>
          <w:u w:color="000000"/>
          <w:lang w:val="zh-CN" w:bidi="zh-CN"/>
        </w:rPr>
        <w:t>保证电子病历的真实可信和合法有效性，切实提高服务水平和服务能力。</w:t>
      </w:r>
    </w:p>
    <w:p w14:paraId="4898DF78">
      <w:pPr>
        <w:spacing w:before="120" w:line="360" w:lineRule="auto"/>
        <w:ind w:firstLine="420" w:firstLineChars="200"/>
        <w:rPr>
          <w:rFonts w:hint="eastAsia" w:ascii="宋体" w:hAnsi="宋体" w:eastAsia="宋体"/>
          <w:szCs w:val="21"/>
        </w:rPr>
      </w:pPr>
      <w:r>
        <w:rPr>
          <w:rFonts w:hint="eastAsia" w:ascii="宋体" w:hAnsi="宋体" w:eastAsia="宋体"/>
          <w:szCs w:val="21"/>
        </w:rPr>
        <w:t>如东县人民医院</w:t>
      </w:r>
      <w:r>
        <w:rPr>
          <w:rFonts w:ascii="宋体" w:hAnsi="宋体" w:eastAsia="宋体"/>
          <w:szCs w:val="21"/>
        </w:rPr>
        <w:t>已建设了电子认证服务体系和电子签名应用安全支撑平台，初步实现了面向医生、医技的可靠电子签名应用，保证电子病历数据及知情同意书的真实性、完整性、合法有效性。随着</w:t>
      </w:r>
      <w:r>
        <w:rPr>
          <w:rFonts w:hint="eastAsia" w:ascii="宋体" w:hAnsi="宋体" w:eastAsia="宋体"/>
          <w:szCs w:val="21"/>
        </w:rPr>
        <w:t>全院医生、护士、</w:t>
      </w:r>
      <w:r>
        <w:rPr>
          <w:rFonts w:ascii="宋体" w:hAnsi="宋体" w:eastAsia="宋体"/>
          <w:szCs w:val="21"/>
        </w:rPr>
        <w:t>医技人员CA的正式启用，现</w:t>
      </w:r>
      <w:r>
        <w:rPr>
          <w:rFonts w:hint="eastAsia" w:ascii="宋体" w:hAnsi="宋体" w:eastAsia="宋体"/>
          <w:szCs w:val="21"/>
        </w:rPr>
        <w:t>因医院业务发展的需要，计划对电子认证服务系统的</w:t>
      </w:r>
      <w:r>
        <w:rPr>
          <w:rFonts w:hint="eastAsia" w:ascii="宋体" w:hAnsi="宋体" w:eastAsia="宋体" w:cs="宋体"/>
          <w:color w:val="000000"/>
          <w:kern w:val="0"/>
          <w:szCs w:val="21"/>
          <w:u w:color="000000"/>
          <w:lang w:val="zh-CN" w:bidi="zh-CN"/>
        </w:rPr>
        <w:t>相关服务进行扩容和更新，一方面，保障新增医护人员的可信网络身份；另一方面，维持</w:t>
      </w:r>
      <w:r>
        <w:rPr>
          <w:rFonts w:ascii="宋体" w:hAnsi="宋体" w:eastAsia="宋体"/>
          <w:szCs w:val="21"/>
        </w:rPr>
        <w:t>平台的稳定性和延续性</w:t>
      </w:r>
      <w:r>
        <w:rPr>
          <w:rFonts w:hint="eastAsia" w:ascii="宋体" w:hAnsi="宋体" w:eastAsia="宋体"/>
          <w:szCs w:val="21"/>
        </w:rPr>
        <w:t>，可与原有的电子认证服务体系无缝对接。</w:t>
      </w:r>
      <w:r>
        <w:rPr>
          <w:rFonts w:hint="eastAsia"/>
          <w:lang w:val="zh-CN" w:bidi="zh-CN"/>
        </w:rPr>
        <w:t>。</w:t>
      </w:r>
    </w:p>
    <w:p w14:paraId="2BC1DEE1">
      <w:pPr>
        <w:spacing w:line="360" w:lineRule="auto"/>
        <w:outlineLvl w:val="2"/>
        <w:rPr>
          <w:rFonts w:hint="eastAsia" w:ascii="宋体" w:hAnsi="宋体" w:eastAsia="宋体"/>
          <w:b/>
          <w:bCs/>
          <w:color w:val="000000"/>
          <w:sz w:val="24"/>
          <w:szCs w:val="21"/>
        </w:rPr>
      </w:pPr>
      <w:r>
        <w:rPr>
          <w:rFonts w:hint="eastAsia" w:ascii="宋体" w:hAnsi="宋体" w:eastAsia="宋体"/>
          <w:b/>
          <w:bCs/>
          <w:color w:val="000000"/>
          <w:sz w:val="24"/>
          <w:szCs w:val="21"/>
        </w:rPr>
        <w:t>1.2项目建设遵循标准</w:t>
      </w:r>
    </w:p>
    <w:p w14:paraId="479020E0">
      <w:pPr>
        <w:numPr>
          <w:ilvl w:val="0"/>
          <w:numId w:val="1"/>
        </w:numPr>
        <w:autoSpaceDE w:val="0"/>
        <w:autoSpaceDN w:val="0"/>
        <w:spacing w:line="360" w:lineRule="auto"/>
        <w:ind w:left="4" w:leftChars="2" w:firstLine="425"/>
        <w:jc w:val="left"/>
        <w:rPr>
          <w:rFonts w:hint="eastAsia" w:ascii="宋体" w:hAnsi="宋体" w:eastAsia="宋体" w:cs="宋体"/>
          <w:bCs/>
          <w:kern w:val="0"/>
          <w:szCs w:val="21"/>
          <w:lang w:val="zh-CN" w:bidi="zh-CN"/>
        </w:rPr>
      </w:pPr>
      <w:r>
        <w:rPr>
          <w:rFonts w:hint="eastAsia" w:ascii="宋体" w:hAnsi="宋体" w:eastAsia="宋体" w:cs="宋体"/>
          <w:bCs/>
          <w:kern w:val="0"/>
          <w:szCs w:val="21"/>
          <w:lang w:val="zh-CN" w:bidi="zh-CN"/>
        </w:rPr>
        <w:t>《中华人民共和国电子签名法》</w:t>
      </w:r>
    </w:p>
    <w:p w14:paraId="7F4A019F">
      <w:pPr>
        <w:numPr>
          <w:ilvl w:val="0"/>
          <w:numId w:val="1"/>
        </w:numPr>
        <w:autoSpaceDE w:val="0"/>
        <w:autoSpaceDN w:val="0"/>
        <w:spacing w:line="360" w:lineRule="auto"/>
        <w:ind w:left="4" w:leftChars="2" w:firstLine="425"/>
        <w:jc w:val="left"/>
        <w:rPr>
          <w:rFonts w:hint="eastAsia" w:ascii="宋体" w:hAnsi="宋体" w:eastAsia="宋体" w:cs="宋体"/>
          <w:bCs/>
          <w:kern w:val="0"/>
          <w:szCs w:val="21"/>
          <w:lang w:val="zh-CN" w:bidi="zh-CN"/>
        </w:rPr>
      </w:pPr>
      <w:r>
        <w:rPr>
          <w:rFonts w:hint="eastAsia" w:ascii="宋体" w:hAnsi="宋体" w:eastAsia="宋体" w:cs="宋体"/>
          <w:bCs/>
          <w:kern w:val="0"/>
          <w:szCs w:val="21"/>
          <w:lang w:val="zh-CN" w:bidi="zh-CN"/>
        </w:rPr>
        <w:t>《中共中央国务院关于深化医药卫生体制改革的意见》</w:t>
      </w:r>
    </w:p>
    <w:p w14:paraId="552D1F34">
      <w:pPr>
        <w:numPr>
          <w:ilvl w:val="0"/>
          <w:numId w:val="1"/>
        </w:numPr>
        <w:autoSpaceDE w:val="0"/>
        <w:autoSpaceDN w:val="0"/>
        <w:spacing w:line="360" w:lineRule="auto"/>
        <w:ind w:left="4" w:leftChars="2" w:firstLine="425"/>
        <w:jc w:val="left"/>
        <w:rPr>
          <w:rFonts w:hint="eastAsia" w:ascii="宋体" w:hAnsi="宋体" w:eastAsia="宋体" w:cs="宋体"/>
          <w:bCs/>
          <w:kern w:val="0"/>
          <w:szCs w:val="21"/>
          <w:lang w:val="zh-CN" w:bidi="zh-CN"/>
        </w:rPr>
      </w:pPr>
      <w:r>
        <w:rPr>
          <w:rFonts w:hint="eastAsia" w:ascii="宋体" w:hAnsi="宋体" w:eastAsia="宋体" w:cs="宋体"/>
          <w:bCs/>
          <w:kern w:val="0"/>
          <w:szCs w:val="21"/>
          <w:lang w:val="zh-CN" w:bidi="zh-CN"/>
        </w:rPr>
        <w:t>《基于健康档案的区域卫生信息平台设技术解决方案（试行）》</w:t>
      </w:r>
    </w:p>
    <w:p w14:paraId="3F130434">
      <w:pPr>
        <w:numPr>
          <w:ilvl w:val="0"/>
          <w:numId w:val="1"/>
        </w:numPr>
        <w:autoSpaceDE w:val="0"/>
        <w:autoSpaceDN w:val="0"/>
        <w:spacing w:line="360" w:lineRule="auto"/>
        <w:ind w:left="4" w:leftChars="2" w:firstLine="425"/>
        <w:jc w:val="left"/>
        <w:rPr>
          <w:rFonts w:hint="eastAsia" w:ascii="宋体" w:hAnsi="宋体" w:eastAsia="宋体" w:cs="宋体"/>
          <w:bCs/>
          <w:kern w:val="0"/>
          <w:szCs w:val="21"/>
          <w:lang w:val="zh-CN" w:bidi="zh-CN"/>
        </w:rPr>
      </w:pPr>
      <w:r>
        <w:rPr>
          <w:rFonts w:hint="eastAsia" w:ascii="宋体" w:hAnsi="宋体" w:eastAsia="宋体" w:cs="宋体"/>
          <w:bCs/>
          <w:kern w:val="0"/>
          <w:szCs w:val="21"/>
          <w:lang w:val="zh-CN" w:bidi="zh-CN"/>
        </w:rPr>
        <w:t>《电子病历基本规范（试行）》(卫医政发〔2010〕24号)</w:t>
      </w:r>
    </w:p>
    <w:p w14:paraId="57951176">
      <w:pPr>
        <w:numPr>
          <w:ilvl w:val="0"/>
          <w:numId w:val="1"/>
        </w:numPr>
        <w:autoSpaceDE w:val="0"/>
        <w:autoSpaceDN w:val="0"/>
        <w:spacing w:line="360" w:lineRule="auto"/>
        <w:ind w:left="4" w:leftChars="2" w:firstLine="425"/>
        <w:jc w:val="left"/>
        <w:rPr>
          <w:rFonts w:hint="eastAsia" w:ascii="宋体" w:hAnsi="宋体" w:eastAsia="宋体" w:cs="宋体"/>
          <w:bCs/>
          <w:kern w:val="0"/>
          <w:szCs w:val="21"/>
          <w:lang w:val="zh-CN" w:bidi="zh-CN"/>
        </w:rPr>
      </w:pPr>
      <w:r>
        <w:rPr>
          <w:rFonts w:hint="eastAsia" w:ascii="宋体" w:hAnsi="宋体" w:eastAsia="宋体" w:cs="宋体"/>
          <w:bCs/>
          <w:kern w:val="0"/>
          <w:szCs w:val="21"/>
          <w:lang w:val="zh-CN" w:bidi="zh-CN"/>
        </w:rPr>
        <w:t>《卫生部办公厅关于推进以电子病历为核心医院信息化建设试点工作的通知》</w:t>
      </w:r>
    </w:p>
    <w:p w14:paraId="0CCBBC27">
      <w:pPr>
        <w:numPr>
          <w:ilvl w:val="0"/>
          <w:numId w:val="1"/>
        </w:numPr>
        <w:autoSpaceDE w:val="0"/>
        <w:autoSpaceDN w:val="0"/>
        <w:spacing w:line="360" w:lineRule="auto"/>
        <w:ind w:left="4" w:leftChars="2" w:firstLine="425"/>
        <w:jc w:val="left"/>
        <w:rPr>
          <w:rFonts w:hint="eastAsia" w:ascii="宋体" w:hAnsi="宋体" w:eastAsia="宋体" w:cs="宋体"/>
          <w:bCs/>
          <w:kern w:val="0"/>
          <w:szCs w:val="21"/>
          <w:lang w:val="zh-CN" w:bidi="zh-CN"/>
        </w:rPr>
      </w:pPr>
      <w:r>
        <w:rPr>
          <w:rFonts w:hint="eastAsia" w:ascii="宋体" w:hAnsi="宋体" w:eastAsia="宋体" w:cs="宋体"/>
          <w:bCs/>
          <w:kern w:val="0"/>
          <w:szCs w:val="21"/>
          <w:lang w:val="zh-CN" w:bidi="zh-CN"/>
        </w:rPr>
        <w:t>《电子病历应用管理规范（试行）》</w:t>
      </w:r>
    </w:p>
    <w:p w14:paraId="7EFDE74D">
      <w:pPr>
        <w:spacing w:after="156" w:afterLines="50" w:line="360" w:lineRule="auto"/>
        <w:outlineLvl w:val="1"/>
        <w:rPr>
          <w:rFonts w:hint="eastAsia" w:ascii="宋体" w:hAnsi="宋体" w:eastAsia="宋体"/>
          <w:b/>
          <w:bCs/>
          <w:sz w:val="24"/>
          <w:szCs w:val="21"/>
        </w:rPr>
      </w:pPr>
      <w:r>
        <w:rPr>
          <w:rFonts w:hint="eastAsia" w:ascii="宋体" w:hAnsi="宋体" w:eastAsia="宋体"/>
          <w:b/>
          <w:bCs/>
          <w:sz w:val="24"/>
          <w:szCs w:val="21"/>
        </w:rPr>
        <w:t>二、项目需求清单</w:t>
      </w:r>
    </w:p>
    <w:tbl>
      <w:tblPr>
        <w:tblStyle w:val="21"/>
        <w:tblW w:w="8364" w:type="dxa"/>
        <w:jc w:val="center"/>
        <w:tblLayout w:type="fixed"/>
        <w:tblCellMar>
          <w:top w:w="0" w:type="dxa"/>
          <w:left w:w="108" w:type="dxa"/>
          <w:bottom w:w="0" w:type="dxa"/>
          <w:right w:w="108" w:type="dxa"/>
        </w:tblCellMar>
      </w:tblPr>
      <w:tblGrid>
        <w:gridCol w:w="704"/>
        <w:gridCol w:w="2146"/>
        <w:gridCol w:w="753"/>
        <w:gridCol w:w="850"/>
        <w:gridCol w:w="2975"/>
        <w:gridCol w:w="936"/>
      </w:tblGrid>
      <w:tr w14:paraId="70A21024">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D9F6B95">
            <w:pPr>
              <w:spacing w:line="360" w:lineRule="auto"/>
              <w:jc w:val="center"/>
              <w:rPr>
                <w:rFonts w:hint="eastAsia" w:ascii="宋体" w:hAnsi="宋体" w:eastAsia="宋体"/>
                <w:b/>
                <w:bCs/>
                <w:szCs w:val="21"/>
              </w:rPr>
            </w:pPr>
            <w:r>
              <w:rPr>
                <w:rFonts w:hint="eastAsia" w:ascii="宋体" w:hAnsi="宋体" w:eastAsia="宋体"/>
                <w:b/>
                <w:bCs/>
                <w:szCs w:val="21"/>
              </w:rPr>
              <w:t>序号</w:t>
            </w:r>
          </w:p>
        </w:tc>
        <w:tc>
          <w:tcPr>
            <w:tcW w:w="2146" w:type="dxa"/>
            <w:tcBorders>
              <w:top w:val="single" w:color="auto" w:sz="4" w:space="0"/>
              <w:left w:val="single" w:color="auto" w:sz="4" w:space="0"/>
              <w:bottom w:val="single" w:color="auto" w:sz="4" w:space="0"/>
              <w:right w:val="single" w:color="auto" w:sz="4" w:space="0"/>
            </w:tcBorders>
            <w:vAlign w:val="center"/>
          </w:tcPr>
          <w:p w14:paraId="17EF21A7">
            <w:pPr>
              <w:spacing w:line="360" w:lineRule="auto"/>
              <w:jc w:val="center"/>
              <w:rPr>
                <w:rFonts w:hint="eastAsia" w:ascii="宋体" w:hAnsi="宋体" w:eastAsia="宋体"/>
                <w:b/>
                <w:bCs/>
                <w:szCs w:val="21"/>
              </w:rPr>
            </w:pPr>
            <w:r>
              <w:rPr>
                <w:rFonts w:hint="eastAsia" w:ascii="宋体" w:hAnsi="宋体" w:eastAsia="宋体"/>
                <w:b/>
                <w:bCs/>
                <w:szCs w:val="21"/>
              </w:rPr>
              <w:t>标的名称</w:t>
            </w:r>
          </w:p>
        </w:tc>
        <w:tc>
          <w:tcPr>
            <w:tcW w:w="753" w:type="dxa"/>
            <w:tcBorders>
              <w:top w:val="single" w:color="auto" w:sz="4" w:space="0"/>
              <w:left w:val="single" w:color="auto" w:sz="4" w:space="0"/>
              <w:bottom w:val="single" w:color="auto" w:sz="4" w:space="0"/>
              <w:right w:val="single" w:color="auto" w:sz="4" w:space="0"/>
            </w:tcBorders>
            <w:vAlign w:val="center"/>
          </w:tcPr>
          <w:p w14:paraId="4BEAB425">
            <w:pPr>
              <w:spacing w:line="360" w:lineRule="auto"/>
              <w:jc w:val="center"/>
              <w:rPr>
                <w:rFonts w:hint="eastAsia" w:ascii="宋体" w:hAnsi="宋体" w:eastAsia="宋体"/>
                <w:b/>
                <w:bCs/>
                <w:szCs w:val="21"/>
              </w:rPr>
            </w:pPr>
            <w:r>
              <w:rPr>
                <w:rFonts w:hint="eastAsia" w:ascii="宋体" w:hAnsi="宋体" w:eastAsia="宋体"/>
                <w:b/>
                <w:bCs/>
                <w:szCs w:val="21"/>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060DDD4A">
            <w:pPr>
              <w:spacing w:line="360" w:lineRule="auto"/>
              <w:jc w:val="center"/>
              <w:rPr>
                <w:rFonts w:hint="eastAsia" w:ascii="宋体" w:hAnsi="宋体" w:eastAsia="宋体"/>
                <w:b/>
                <w:bCs/>
                <w:szCs w:val="21"/>
              </w:rPr>
            </w:pPr>
            <w:r>
              <w:rPr>
                <w:rFonts w:hint="eastAsia" w:ascii="宋体" w:hAnsi="宋体" w:eastAsia="宋体"/>
                <w:b/>
                <w:bCs/>
                <w:szCs w:val="21"/>
              </w:rPr>
              <w:t>单位</w:t>
            </w:r>
          </w:p>
        </w:tc>
        <w:tc>
          <w:tcPr>
            <w:tcW w:w="2975" w:type="dxa"/>
            <w:tcBorders>
              <w:top w:val="single" w:color="auto" w:sz="4" w:space="0"/>
              <w:left w:val="single" w:color="auto" w:sz="4" w:space="0"/>
              <w:bottom w:val="single" w:color="auto" w:sz="4" w:space="0"/>
              <w:right w:val="single" w:color="auto" w:sz="4" w:space="0"/>
            </w:tcBorders>
            <w:vAlign w:val="center"/>
          </w:tcPr>
          <w:p w14:paraId="5CEF1E4C">
            <w:pPr>
              <w:spacing w:line="360" w:lineRule="auto"/>
              <w:jc w:val="center"/>
              <w:rPr>
                <w:rFonts w:hint="eastAsia" w:ascii="宋体" w:hAnsi="宋体" w:eastAsia="宋体"/>
                <w:b/>
                <w:bCs/>
                <w:szCs w:val="21"/>
              </w:rPr>
            </w:pPr>
            <w:r>
              <w:rPr>
                <w:rFonts w:hint="eastAsia" w:ascii="宋体" w:hAnsi="宋体" w:eastAsia="宋体"/>
                <w:b/>
                <w:bCs/>
                <w:szCs w:val="21"/>
              </w:rPr>
              <w:t>采购标的所属行业</w:t>
            </w:r>
          </w:p>
        </w:tc>
        <w:tc>
          <w:tcPr>
            <w:tcW w:w="936" w:type="dxa"/>
            <w:tcBorders>
              <w:top w:val="single" w:color="auto" w:sz="4" w:space="0"/>
              <w:left w:val="single" w:color="auto" w:sz="4" w:space="0"/>
              <w:bottom w:val="single" w:color="auto" w:sz="4" w:space="0"/>
              <w:right w:val="single" w:color="auto" w:sz="4" w:space="0"/>
            </w:tcBorders>
          </w:tcPr>
          <w:p w14:paraId="5C6A2F36">
            <w:pPr>
              <w:spacing w:line="360" w:lineRule="auto"/>
              <w:jc w:val="center"/>
              <w:rPr>
                <w:rFonts w:hint="eastAsia" w:ascii="宋体" w:hAnsi="宋体" w:eastAsia="宋体"/>
                <w:b/>
                <w:bCs/>
                <w:szCs w:val="21"/>
              </w:rPr>
            </w:pPr>
            <w:r>
              <w:rPr>
                <w:rFonts w:hint="eastAsia" w:ascii="宋体" w:hAnsi="宋体" w:eastAsia="宋体"/>
                <w:b/>
                <w:bCs/>
                <w:szCs w:val="21"/>
              </w:rPr>
              <w:t>属性</w:t>
            </w:r>
          </w:p>
        </w:tc>
      </w:tr>
      <w:tr w14:paraId="5C748BD2">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4523A01">
            <w:pPr>
              <w:spacing w:line="360" w:lineRule="auto"/>
              <w:jc w:val="center"/>
              <w:rPr>
                <w:rFonts w:hint="eastAsia" w:ascii="宋体" w:hAnsi="宋体" w:eastAsia="宋体"/>
                <w:szCs w:val="21"/>
              </w:rPr>
            </w:pPr>
            <w:r>
              <w:rPr>
                <w:rFonts w:hint="eastAsia" w:ascii="宋体" w:hAnsi="宋体" w:eastAsia="宋体"/>
                <w:szCs w:val="21"/>
              </w:rPr>
              <w:t>1</w:t>
            </w:r>
          </w:p>
        </w:tc>
        <w:tc>
          <w:tcPr>
            <w:tcW w:w="2146" w:type="dxa"/>
            <w:tcBorders>
              <w:top w:val="single" w:color="auto" w:sz="4" w:space="0"/>
              <w:left w:val="single" w:color="auto" w:sz="4" w:space="0"/>
              <w:bottom w:val="single" w:color="auto" w:sz="4" w:space="0"/>
              <w:right w:val="single" w:color="auto" w:sz="4" w:space="0"/>
            </w:tcBorders>
            <w:vAlign w:val="center"/>
          </w:tcPr>
          <w:p w14:paraId="3187F4D5">
            <w:pPr>
              <w:spacing w:line="360" w:lineRule="auto"/>
              <w:jc w:val="center"/>
              <w:rPr>
                <w:rFonts w:hint="eastAsia" w:ascii="宋体" w:hAnsi="宋体" w:eastAsia="宋体"/>
                <w:szCs w:val="21"/>
              </w:rPr>
            </w:pPr>
            <w:r>
              <w:rPr>
                <w:rFonts w:hint="eastAsia" w:ascii="宋体" w:hAnsi="宋体" w:eastAsia="宋体"/>
                <w:szCs w:val="21"/>
              </w:rPr>
              <w:t>个人数字证书</w:t>
            </w:r>
          </w:p>
        </w:tc>
        <w:tc>
          <w:tcPr>
            <w:tcW w:w="753" w:type="dxa"/>
            <w:tcBorders>
              <w:top w:val="single" w:color="auto" w:sz="4" w:space="0"/>
              <w:left w:val="single" w:color="auto" w:sz="4" w:space="0"/>
              <w:bottom w:val="single" w:color="auto" w:sz="4" w:space="0"/>
              <w:right w:val="single" w:color="auto" w:sz="4" w:space="0"/>
            </w:tcBorders>
            <w:vAlign w:val="center"/>
          </w:tcPr>
          <w:p w14:paraId="47C85942">
            <w:pPr>
              <w:spacing w:line="360" w:lineRule="auto"/>
              <w:jc w:val="center"/>
              <w:rPr>
                <w:rFonts w:hint="eastAsia" w:ascii="宋体" w:hAnsi="宋体" w:eastAsia="宋体"/>
                <w:szCs w:val="21"/>
              </w:rPr>
            </w:pPr>
            <w:r>
              <w:rPr>
                <w:rFonts w:ascii="宋体" w:hAnsi="宋体" w:eastAsia="宋体"/>
                <w:szCs w:val="21"/>
              </w:rPr>
              <w:t>600</w:t>
            </w:r>
          </w:p>
        </w:tc>
        <w:tc>
          <w:tcPr>
            <w:tcW w:w="850" w:type="dxa"/>
            <w:tcBorders>
              <w:top w:val="single" w:color="auto" w:sz="4" w:space="0"/>
              <w:left w:val="single" w:color="auto" w:sz="4" w:space="0"/>
              <w:bottom w:val="single" w:color="auto" w:sz="4" w:space="0"/>
              <w:right w:val="single" w:color="auto" w:sz="4" w:space="0"/>
            </w:tcBorders>
            <w:vAlign w:val="center"/>
          </w:tcPr>
          <w:p w14:paraId="6C15168F">
            <w:pPr>
              <w:spacing w:line="360" w:lineRule="auto"/>
              <w:jc w:val="center"/>
              <w:rPr>
                <w:rFonts w:hint="eastAsia" w:ascii="宋体" w:hAnsi="宋体" w:eastAsia="宋体"/>
                <w:szCs w:val="21"/>
              </w:rPr>
            </w:pPr>
            <w:r>
              <w:rPr>
                <w:rFonts w:hint="eastAsia" w:ascii="宋体" w:hAnsi="宋体" w:eastAsia="宋体"/>
                <w:szCs w:val="21"/>
              </w:rPr>
              <w:t>人/年</w:t>
            </w:r>
          </w:p>
        </w:tc>
        <w:tc>
          <w:tcPr>
            <w:tcW w:w="2975" w:type="dxa"/>
            <w:tcBorders>
              <w:top w:val="single" w:color="auto" w:sz="4" w:space="0"/>
              <w:left w:val="single" w:color="auto" w:sz="4" w:space="0"/>
              <w:bottom w:val="single" w:color="auto" w:sz="4" w:space="0"/>
              <w:right w:val="single" w:color="auto" w:sz="4" w:space="0"/>
            </w:tcBorders>
            <w:vAlign w:val="center"/>
          </w:tcPr>
          <w:p w14:paraId="000F6723">
            <w:pPr>
              <w:spacing w:line="360" w:lineRule="auto"/>
              <w:jc w:val="center"/>
              <w:rPr>
                <w:rFonts w:hint="eastAsia" w:ascii="宋体" w:hAnsi="宋体" w:eastAsia="宋体"/>
                <w:szCs w:val="21"/>
              </w:rPr>
            </w:pPr>
            <w:r>
              <w:rPr>
                <w:rFonts w:hint="eastAsia" w:ascii="宋体" w:hAnsi="宋体" w:eastAsia="宋体"/>
                <w:szCs w:val="21"/>
              </w:rPr>
              <w:t>软件和信息技术服务</w:t>
            </w:r>
          </w:p>
        </w:tc>
        <w:tc>
          <w:tcPr>
            <w:tcW w:w="936" w:type="dxa"/>
            <w:tcBorders>
              <w:top w:val="single" w:color="auto" w:sz="4" w:space="0"/>
              <w:left w:val="single" w:color="auto" w:sz="4" w:space="0"/>
              <w:bottom w:val="single" w:color="auto" w:sz="4" w:space="0"/>
              <w:right w:val="single" w:color="auto" w:sz="4" w:space="0"/>
            </w:tcBorders>
          </w:tcPr>
          <w:p w14:paraId="69F44E81">
            <w:pPr>
              <w:spacing w:line="360" w:lineRule="auto"/>
              <w:jc w:val="center"/>
              <w:rPr>
                <w:rFonts w:hint="eastAsia" w:ascii="宋体" w:hAnsi="宋体" w:eastAsia="宋体"/>
                <w:szCs w:val="21"/>
              </w:rPr>
            </w:pPr>
            <w:r>
              <w:rPr>
                <w:rFonts w:hint="eastAsia" w:ascii="宋体" w:hAnsi="宋体" w:eastAsia="宋体"/>
                <w:szCs w:val="21"/>
              </w:rPr>
              <w:t>服务</w:t>
            </w:r>
          </w:p>
        </w:tc>
      </w:tr>
      <w:tr w14:paraId="7B4612B6">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E24E069">
            <w:pPr>
              <w:spacing w:line="360" w:lineRule="auto"/>
              <w:jc w:val="center"/>
              <w:rPr>
                <w:rFonts w:hint="eastAsia" w:ascii="宋体" w:hAnsi="宋体" w:eastAsia="宋体"/>
                <w:szCs w:val="21"/>
              </w:rPr>
            </w:pPr>
            <w:r>
              <w:rPr>
                <w:rFonts w:hint="eastAsia" w:ascii="宋体" w:hAnsi="宋体" w:eastAsia="宋体"/>
                <w:szCs w:val="21"/>
              </w:rPr>
              <w:t>2</w:t>
            </w:r>
          </w:p>
        </w:tc>
        <w:tc>
          <w:tcPr>
            <w:tcW w:w="2146" w:type="dxa"/>
            <w:tcBorders>
              <w:top w:val="single" w:color="auto" w:sz="4" w:space="0"/>
              <w:left w:val="single" w:color="auto" w:sz="4" w:space="0"/>
              <w:bottom w:val="single" w:color="auto" w:sz="4" w:space="0"/>
              <w:right w:val="single" w:color="auto" w:sz="4" w:space="0"/>
            </w:tcBorders>
            <w:vAlign w:val="center"/>
          </w:tcPr>
          <w:p w14:paraId="67C21647">
            <w:pPr>
              <w:spacing w:line="360" w:lineRule="auto"/>
              <w:jc w:val="center"/>
              <w:rPr>
                <w:rFonts w:hint="eastAsia" w:ascii="宋体" w:hAnsi="宋体" w:eastAsia="宋体"/>
                <w:szCs w:val="21"/>
              </w:rPr>
            </w:pPr>
            <w:r>
              <w:rPr>
                <w:rFonts w:hint="eastAsia" w:ascii="宋体" w:hAnsi="宋体" w:eastAsia="宋体"/>
                <w:szCs w:val="21"/>
              </w:rPr>
              <w:t>电子印章制作费</w:t>
            </w:r>
          </w:p>
        </w:tc>
        <w:tc>
          <w:tcPr>
            <w:tcW w:w="753" w:type="dxa"/>
            <w:tcBorders>
              <w:top w:val="single" w:color="auto" w:sz="4" w:space="0"/>
              <w:left w:val="single" w:color="auto" w:sz="4" w:space="0"/>
              <w:bottom w:val="single" w:color="auto" w:sz="4" w:space="0"/>
              <w:right w:val="single" w:color="auto" w:sz="4" w:space="0"/>
            </w:tcBorders>
            <w:vAlign w:val="center"/>
          </w:tcPr>
          <w:p w14:paraId="1BDD7EA2">
            <w:pPr>
              <w:spacing w:line="360" w:lineRule="auto"/>
              <w:jc w:val="center"/>
              <w:rPr>
                <w:rFonts w:hint="eastAsia" w:ascii="宋体" w:hAnsi="宋体" w:eastAsia="宋体"/>
                <w:szCs w:val="21"/>
              </w:rPr>
            </w:pPr>
            <w:r>
              <w:rPr>
                <w:rFonts w:hint="eastAsia" w:ascii="宋体" w:hAnsi="宋体" w:eastAsia="宋体"/>
                <w:szCs w:val="21"/>
              </w:rPr>
              <w:t>6</w:t>
            </w:r>
            <w:r>
              <w:rPr>
                <w:rFonts w:ascii="宋体" w:hAnsi="宋体" w:eastAsia="宋体"/>
                <w:szCs w:val="21"/>
              </w:rPr>
              <w:t>00</w:t>
            </w:r>
          </w:p>
        </w:tc>
        <w:tc>
          <w:tcPr>
            <w:tcW w:w="850" w:type="dxa"/>
            <w:tcBorders>
              <w:top w:val="single" w:color="auto" w:sz="4" w:space="0"/>
              <w:left w:val="single" w:color="auto" w:sz="4" w:space="0"/>
              <w:bottom w:val="single" w:color="auto" w:sz="4" w:space="0"/>
              <w:right w:val="single" w:color="auto" w:sz="4" w:space="0"/>
            </w:tcBorders>
            <w:vAlign w:val="center"/>
          </w:tcPr>
          <w:p w14:paraId="1B4FC25A">
            <w:pPr>
              <w:spacing w:line="360" w:lineRule="auto"/>
              <w:jc w:val="center"/>
              <w:rPr>
                <w:rFonts w:hint="eastAsia" w:ascii="宋体" w:hAnsi="宋体" w:eastAsia="宋体"/>
                <w:szCs w:val="21"/>
              </w:rPr>
            </w:pPr>
            <w:r>
              <w:rPr>
                <w:rFonts w:hint="eastAsia" w:ascii="宋体" w:hAnsi="宋体" w:eastAsia="宋体"/>
                <w:szCs w:val="21"/>
              </w:rPr>
              <w:t>枚</w:t>
            </w:r>
          </w:p>
        </w:tc>
        <w:tc>
          <w:tcPr>
            <w:tcW w:w="2975" w:type="dxa"/>
            <w:tcBorders>
              <w:top w:val="single" w:color="auto" w:sz="4" w:space="0"/>
              <w:left w:val="single" w:color="auto" w:sz="4" w:space="0"/>
              <w:bottom w:val="single" w:color="auto" w:sz="4" w:space="0"/>
              <w:right w:val="single" w:color="auto" w:sz="4" w:space="0"/>
            </w:tcBorders>
            <w:vAlign w:val="center"/>
          </w:tcPr>
          <w:p w14:paraId="5DDFC4B2">
            <w:pPr>
              <w:spacing w:line="360" w:lineRule="auto"/>
              <w:jc w:val="center"/>
              <w:rPr>
                <w:rFonts w:hint="eastAsia" w:ascii="宋体" w:hAnsi="宋体" w:eastAsia="宋体"/>
                <w:szCs w:val="21"/>
              </w:rPr>
            </w:pPr>
            <w:r>
              <w:rPr>
                <w:rFonts w:hint="eastAsia" w:ascii="宋体" w:hAnsi="宋体" w:eastAsia="宋体"/>
                <w:szCs w:val="21"/>
              </w:rPr>
              <w:t>软件和信息技术服务</w:t>
            </w:r>
          </w:p>
        </w:tc>
        <w:tc>
          <w:tcPr>
            <w:tcW w:w="936" w:type="dxa"/>
            <w:tcBorders>
              <w:top w:val="single" w:color="auto" w:sz="4" w:space="0"/>
              <w:left w:val="single" w:color="auto" w:sz="4" w:space="0"/>
              <w:bottom w:val="single" w:color="auto" w:sz="4" w:space="0"/>
              <w:right w:val="single" w:color="auto" w:sz="4" w:space="0"/>
            </w:tcBorders>
          </w:tcPr>
          <w:p w14:paraId="6C89BDDF">
            <w:pPr>
              <w:spacing w:line="360" w:lineRule="auto"/>
              <w:jc w:val="center"/>
              <w:rPr>
                <w:rFonts w:hint="eastAsia" w:ascii="宋体" w:hAnsi="宋体" w:eastAsia="宋体"/>
                <w:szCs w:val="21"/>
              </w:rPr>
            </w:pPr>
            <w:r>
              <w:rPr>
                <w:rFonts w:hint="eastAsia" w:ascii="宋体" w:hAnsi="宋体" w:eastAsia="宋体"/>
                <w:szCs w:val="21"/>
              </w:rPr>
              <w:t>服务</w:t>
            </w:r>
          </w:p>
        </w:tc>
      </w:tr>
    </w:tbl>
    <w:p w14:paraId="4A48D650">
      <w:pPr>
        <w:spacing w:line="360" w:lineRule="auto"/>
        <w:rPr>
          <w:rFonts w:hint="eastAsia" w:ascii="宋体" w:hAnsi="宋体" w:eastAsia="宋体"/>
          <w:b/>
          <w:bCs/>
          <w:szCs w:val="21"/>
        </w:rPr>
      </w:pPr>
    </w:p>
    <w:p w14:paraId="6752A130">
      <w:pPr>
        <w:spacing w:line="360" w:lineRule="auto"/>
        <w:outlineLvl w:val="1"/>
        <w:rPr>
          <w:rFonts w:hint="eastAsia" w:ascii="宋体" w:hAnsi="宋体" w:eastAsia="宋体"/>
          <w:b/>
          <w:bCs/>
          <w:sz w:val="24"/>
          <w:szCs w:val="21"/>
        </w:rPr>
      </w:pPr>
      <w:r>
        <w:rPr>
          <w:rFonts w:hint="eastAsia" w:ascii="宋体" w:hAnsi="宋体" w:eastAsia="宋体"/>
          <w:b/>
          <w:bCs/>
          <w:sz w:val="24"/>
          <w:szCs w:val="21"/>
        </w:rPr>
        <w:t>三、技术部分要求</w:t>
      </w:r>
    </w:p>
    <w:p w14:paraId="67FE9E61">
      <w:pPr>
        <w:pStyle w:val="11"/>
        <w:numPr>
          <w:ilvl w:val="0"/>
          <w:numId w:val="2"/>
        </w:numPr>
        <w:ind w:left="-624" w:firstLineChars="0"/>
        <w:rPr>
          <w:rFonts w:hint="eastAsia" w:ascii="宋体" w:hAnsi="宋体" w:eastAsia="宋体" w:cs="宋体"/>
          <w:b/>
          <w:bCs/>
          <w:sz w:val="24"/>
          <w:szCs w:val="21"/>
        </w:rPr>
      </w:pPr>
      <w:r>
        <w:rPr>
          <w:rFonts w:hint="eastAsia" w:ascii="宋体" w:hAnsi="宋体" w:eastAsia="宋体" w:cs="宋体"/>
          <w:b/>
          <w:bCs/>
          <w:sz w:val="24"/>
          <w:szCs w:val="21"/>
        </w:rPr>
        <w:t>个人数字证书</w:t>
      </w:r>
    </w:p>
    <w:tbl>
      <w:tblPr>
        <w:tblStyle w:val="21"/>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819"/>
      </w:tblGrid>
      <w:tr w14:paraId="2C12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7" w:type="pct"/>
            <w:shd w:val="clear" w:color="auto" w:fill="auto"/>
            <w:noWrap/>
            <w:vAlign w:val="center"/>
          </w:tcPr>
          <w:p w14:paraId="2E0ED751">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4553" w:type="pct"/>
            <w:shd w:val="clear" w:color="auto" w:fill="auto"/>
            <w:noWrap/>
            <w:vAlign w:val="center"/>
          </w:tcPr>
          <w:p w14:paraId="0A66FD5F">
            <w:pPr>
              <w:widowControl/>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功能指标</w:t>
            </w:r>
          </w:p>
        </w:tc>
      </w:tr>
      <w:tr w14:paraId="5834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47" w:type="pct"/>
            <w:shd w:val="clear" w:color="auto" w:fill="auto"/>
            <w:vAlign w:val="center"/>
          </w:tcPr>
          <w:p w14:paraId="67AE4F8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4553" w:type="pct"/>
            <w:shd w:val="clear" w:color="auto" w:fill="auto"/>
            <w:vAlign w:val="center"/>
          </w:tcPr>
          <w:p w14:paraId="252D5C23">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采用第三方电子认证机构颁发X509 v3的数字证书提供电子签名服务</w:t>
            </w:r>
          </w:p>
        </w:tc>
      </w:tr>
      <w:tr w14:paraId="47E6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7" w:type="pct"/>
            <w:shd w:val="clear" w:color="auto" w:fill="auto"/>
            <w:vAlign w:val="center"/>
          </w:tcPr>
          <w:p w14:paraId="6F6F888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4553" w:type="pct"/>
            <w:shd w:val="clear" w:color="auto" w:fill="auto"/>
            <w:vAlign w:val="center"/>
          </w:tcPr>
          <w:p w14:paraId="24D62F70">
            <w:pPr>
              <w:widowControl/>
              <w:spacing w:line="360" w:lineRule="auto"/>
              <w:jc w:val="left"/>
              <w:rPr>
                <w:rFonts w:hint="eastAsia" w:ascii="宋体" w:hAnsi="宋体" w:eastAsia="宋体" w:cs="宋体"/>
                <w:kern w:val="0"/>
                <w:szCs w:val="21"/>
              </w:rPr>
            </w:pPr>
            <w:r>
              <w:rPr>
                <w:rFonts w:hint="eastAsia" w:cs="Times New Roman"/>
                <w:kern w:val="0"/>
                <w:szCs w:val="20"/>
              </w:rPr>
              <w:t>▲</w:t>
            </w:r>
            <w:r>
              <w:rPr>
                <w:rFonts w:hint="eastAsia" w:ascii="宋体" w:hAnsi="宋体" w:eastAsia="宋体" w:cs="宋体"/>
                <w:kern w:val="0"/>
                <w:szCs w:val="21"/>
              </w:rPr>
              <w:t>支持算法：支持RSA1024、RSA2048、SM2</w:t>
            </w:r>
          </w:p>
        </w:tc>
      </w:tr>
      <w:tr w14:paraId="0EEB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pct"/>
            <w:shd w:val="clear" w:color="auto" w:fill="auto"/>
            <w:vAlign w:val="center"/>
          </w:tcPr>
          <w:p w14:paraId="76BDE58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4553" w:type="pct"/>
            <w:shd w:val="clear" w:color="auto" w:fill="auto"/>
            <w:vAlign w:val="center"/>
          </w:tcPr>
          <w:p w14:paraId="6E1AA2FC">
            <w:pPr>
              <w:widowControl/>
              <w:spacing w:line="360" w:lineRule="auto"/>
              <w:jc w:val="left"/>
              <w:rPr>
                <w:rFonts w:hint="eastAsia" w:ascii="宋体" w:hAnsi="宋体" w:eastAsia="宋体" w:cs="宋体"/>
                <w:kern w:val="0"/>
                <w:szCs w:val="21"/>
              </w:rPr>
            </w:pPr>
            <w:r>
              <w:rPr>
                <w:rFonts w:hint="eastAsia" w:cs="Times New Roman"/>
                <w:kern w:val="0"/>
                <w:szCs w:val="20"/>
              </w:rPr>
              <w:t>▲</w:t>
            </w:r>
            <w:r>
              <w:rPr>
                <w:rFonts w:hint="eastAsia" w:ascii="宋体" w:hAnsi="宋体" w:eastAsia="宋体" w:cs="宋体"/>
                <w:kern w:val="0"/>
                <w:szCs w:val="21"/>
              </w:rPr>
              <w:t>证书介质：移动终端作为认证与签名设备，利用终端与移动签名通信平台的互动，实现应用的移动电子认证与签名</w:t>
            </w:r>
          </w:p>
        </w:tc>
      </w:tr>
      <w:tr w14:paraId="02A4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47" w:type="pct"/>
            <w:shd w:val="clear" w:color="auto" w:fill="auto"/>
            <w:vAlign w:val="center"/>
          </w:tcPr>
          <w:p w14:paraId="7F7FE6F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p>
        </w:tc>
        <w:tc>
          <w:tcPr>
            <w:tcW w:w="4553" w:type="pct"/>
            <w:shd w:val="clear" w:color="auto" w:fill="auto"/>
            <w:vAlign w:val="center"/>
          </w:tcPr>
          <w:p w14:paraId="68CC59F6">
            <w:pPr>
              <w:widowControl/>
              <w:spacing w:line="360" w:lineRule="auto"/>
              <w:jc w:val="left"/>
              <w:rPr>
                <w:rFonts w:hint="eastAsia" w:ascii="宋体" w:hAnsi="宋体" w:eastAsia="宋体" w:cs="宋体"/>
                <w:kern w:val="0"/>
                <w:szCs w:val="21"/>
              </w:rPr>
            </w:pPr>
            <w:r>
              <w:rPr>
                <w:rFonts w:hint="eastAsia" w:cs="Times New Roman"/>
                <w:kern w:val="0"/>
                <w:szCs w:val="20"/>
              </w:rPr>
              <w:t>▲</w:t>
            </w:r>
            <w:r>
              <w:rPr>
                <w:rFonts w:hint="eastAsia" w:ascii="宋体" w:hAnsi="宋体" w:eastAsia="宋体" w:cs="宋体"/>
                <w:kern w:val="0"/>
                <w:szCs w:val="21"/>
              </w:rPr>
              <w:t>密钥管理服务：提供密钥管理云服务，支持密钥由移动终端和云认证服务协商产生。提供密钥生成、存储、销毁、归档、统计产销等功能</w:t>
            </w:r>
          </w:p>
        </w:tc>
      </w:tr>
      <w:tr w14:paraId="441A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pct"/>
            <w:shd w:val="clear" w:color="auto" w:fill="auto"/>
            <w:vAlign w:val="center"/>
          </w:tcPr>
          <w:p w14:paraId="6B0A983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5</w:t>
            </w:r>
          </w:p>
        </w:tc>
        <w:tc>
          <w:tcPr>
            <w:tcW w:w="4553" w:type="pct"/>
            <w:shd w:val="clear" w:color="auto" w:fill="auto"/>
            <w:vAlign w:val="center"/>
          </w:tcPr>
          <w:p w14:paraId="107DC5CF">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符合卫生部《卫生系统数字证书格式规范（试行）》</w:t>
            </w:r>
          </w:p>
        </w:tc>
      </w:tr>
      <w:tr w14:paraId="4007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pct"/>
            <w:shd w:val="clear" w:color="auto" w:fill="auto"/>
            <w:vAlign w:val="center"/>
          </w:tcPr>
          <w:p w14:paraId="3E69D07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w:t>
            </w:r>
          </w:p>
        </w:tc>
        <w:tc>
          <w:tcPr>
            <w:tcW w:w="4553" w:type="pct"/>
            <w:shd w:val="clear" w:color="auto" w:fill="auto"/>
            <w:vAlign w:val="center"/>
          </w:tcPr>
          <w:p w14:paraId="7C6EC1A3">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符合卫生部《卫生系统电子认证服务规范（试行）》</w:t>
            </w:r>
          </w:p>
        </w:tc>
      </w:tr>
      <w:tr w14:paraId="3D06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pct"/>
            <w:shd w:val="clear" w:color="auto" w:fill="auto"/>
            <w:vAlign w:val="center"/>
          </w:tcPr>
          <w:p w14:paraId="7ABAEF0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4553" w:type="pct"/>
            <w:shd w:val="clear" w:color="auto" w:fill="auto"/>
            <w:vAlign w:val="center"/>
          </w:tcPr>
          <w:p w14:paraId="70711385">
            <w:pPr>
              <w:widowControl/>
              <w:spacing w:line="360" w:lineRule="auto"/>
              <w:jc w:val="left"/>
              <w:rPr>
                <w:rFonts w:hint="eastAsia" w:ascii="宋体" w:hAnsi="宋体" w:eastAsia="宋体" w:cs="宋体"/>
                <w:kern w:val="0"/>
                <w:szCs w:val="21"/>
              </w:rPr>
            </w:pPr>
            <w:r>
              <w:rPr>
                <w:rFonts w:hint="eastAsia" w:ascii="宋体" w:hAnsi="宋体" w:eastAsia="宋体" w:cs="Times New Roman"/>
                <w:szCs w:val="24"/>
              </w:rPr>
              <w:t>★</w:t>
            </w:r>
            <w:r>
              <w:rPr>
                <w:rFonts w:hint="eastAsia" w:ascii="宋体" w:hAnsi="宋体" w:eastAsia="宋体" w:cs="宋体"/>
                <w:kern w:val="0"/>
                <w:szCs w:val="21"/>
              </w:rPr>
              <w:t>可与医院现有电子认证系统完全兼容，投标时提供医院现有电子签名服务制造商提供的兼容性证明。</w:t>
            </w:r>
            <w:r>
              <w:rPr>
                <w:rFonts w:ascii="宋体" w:hAnsi="宋体" w:eastAsia="宋体" w:cs="宋体"/>
                <w:kern w:val="0"/>
                <w:szCs w:val="21"/>
              </w:rPr>
              <w:t xml:space="preserve"> </w:t>
            </w:r>
          </w:p>
        </w:tc>
      </w:tr>
      <w:tr w14:paraId="6EE5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7" w:type="pct"/>
            <w:shd w:val="clear" w:color="auto" w:fill="auto"/>
            <w:vAlign w:val="center"/>
          </w:tcPr>
          <w:p w14:paraId="463ACF1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4553" w:type="pct"/>
            <w:shd w:val="clear" w:color="auto" w:fill="auto"/>
            <w:vAlign w:val="center"/>
          </w:tcPr>
          <w:p w14:paraId="59280218">
            <w:pPr>
              <w:widowControl/>
              <w:spacing w:line="360" w:lineRule="auto"/>
              <w:jc w:val="left"/>
              <w:rPr>
                <w:rFonts w:hint="eastAsia" w:ascii="宋体" w:hAnsi="宋体" w:eastAsia="宋体" w:cs="Times New Roman"/>
                <w:szCs w:val="24"/>
              </w:rPr>
            </w:pPr>
            <w:r>
              <w:rPr>
                <w:rFonts w:hint="eastAsia" w:ascii="宋体" w:hAnsi="宋体" w:eastAsia="宋体" w:cs="Times New Roman"/>
                <w:szCs w:val="24"/>
              </w:rPr>
              <w:t>★电子签名服务制造商具备工信部颁发的《电子认证服务许可证》，投标时提供证书复印件。</w:t>
            </w:r>
          </w:p>
        </w:tc>
      </w:tr>
    </w:tbl>
    <w:p w14:paraId="6991F41E">
      <w:pPr>
        <w:rPr>
          <w:rFonts w:hint="eastAsia"/>
          <w:szCs w:val="21"/>
        </w:rPr>
      </w:pPr>
    </w:p>
    <w:p w14:paraId="1F4F19D0">
      <w:pPr>
        <w:pStyle w:val="11"/>
        <w:numPr>
          <w:ilvl w:val="0"/>
          <w:numId w:val="2"/>
        </w:numPr>
        <w:ind w:left="-624" w:firstLineChars="0"/>
        <w:rPr>
          <w:rFonts w:hint="eastAsia" w:ascii="宋体" w:hAnsi="宋体" w:eastAsia="宋体" w:cs="宋体"/>
          <w:b/>
          <w:bCs/>
          <w:sz w:val="24"/>
          <w:szCs w:val="21"/>
        </w:rPr>
      </w:pPr>
      <w:r>
        <w:rPr>
          <w:rFonts w:hint="eastAsia" w:ascii="宋体" w:hAnsi="宋体" w:eastAsia="宋体" w:cs="宋体"/>
          <w:b/>
          <w:bCs/>
          <w:sz w:val="24"/>
          <w:szCs w:val="21"/>
        </w:rPr>
        <w:t>电子印章制作</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998"/>
        <w:gridCol w:w="7361"/>
      </w:tblGrid>
      <w:tr w14:paraId="539C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998" w:type="dxa"/>
            <w:vAlign w:val="center"/>
          </w:tcPr>
          <w:p w14:paraId="389DFE28">
            <w:pPr>
              <w:jc w:val="center"/>
              <w:rPr>
                <w:rFonts w:hint="eastAsia" w:ascii="宋体" w:hAnsi="宋体" w:eastAsia="宋体" w:cs="宋体"/>
                <w:b/>
                <w:bCs/>
                <w:szCs w:val="21"/>
              </w:rPr>
            </w:pPr>
            <w:r>
              <w:rPr>
                <w:rFonts w:hint="eastAsia" w:ascii="宋体" w:hAnsi="宋体" w:eastAsia="宋体" w:cs="宋体"/>
                <w:b/>
                <w:bCs/>
                <w:szCs w:val="21"/>
              </w:rPr>
              <w:t>序号</w:t>
            </w:r>
          </w:p>
        </w:tc>
        <w:tc>
          <w:tcPr>
            <w:tcW w:w="7361" w:type="dxa"/>
            <w:vAlign w:val="center"/>
          </w:tcPr>
          <w:p w14:paraId="202C03D9">
            <w:pPr>
              <w:jc w:val="center"/>
              <w:rPr>
                <w:rFonts w:hint="eastAsia" w:ascii="宋体" w:hAnsi="宋体" w:eastAsia="宋体" w:cs="宋体"/>
                <w:b/>
                <w:bCs/>
                <w:szCs w:val="21"/>
              </w:rPr>
            </w:pPr>
            <w:r>
              <w:rPr>
                <w:rFonts w:hint="eastAsia" w:ascii="宋体" w:hAnsi="宋体" w:eastAsia="宋体" w:cs="宋体"/>
                <w:b/>
                <w:bCs/>
                <w:szCs w:val="21"/>
              </w:rPr>
              <w:t>功能指标</w:t>
            </w:r>
          </w:p>
        </w:tc>
      </w:tr>
      <w:tr w14:paraId="5D8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998" w:type="dxa"/>
            <w:vAlign w:val="center"/>
          </w:tcPr>
          <w:p w14:paraId="31671B2C">
            <w:pPr>
              <w:jc w:val="center"/>
              <w:rPr>
                <w:rFonts w:hint="eastAsia" w:ascii="宋体" w:hAnsi="宋体" w:eastAsia="宋体" w:cs="宋体"/>
                <w:szCs w:val="21"/>
              </w:rPr>
            </w:pPr>
            <w:r>
              <w:rPr>
                <w:rFonts w:hint="eastAsia" w:ascii="宋体" w:hAnsi="宋体" w:eastAsia="宋体" w:cs="宋体"/>
                <w:szCs w:val="21"/>
              </w:rPr>
              <w:t>1</w:t>
            </w:r>
          </w:p>
        </w:tc>
        <w:tc>
          <w:tcPr>
            <w:tcW w:w="7361" w:type="dxa"/>
          </w:tcPr>
          <w:p w14:paraId="5B8A23AD">
            <w:pPr>
              <w:jc w:val="left"/>
              <w:rPr>
                <w:rFonts w:hint="eastAsia" w:ascii="宋体" w:hAnsi="宋体" w:eastAsia="宋体" w:cs="宋体"/>
                <w:szCs w:val="21"/>
              </w:rPr>
            </w:pPr>
            <w:r>
              <w:rPr>
                <w:rFonts w:hint="eastAsia" w:ascii="宋体" w:hAnsi="宋体" w:eastAsia="宋体" w:cs="宋体"/>
                <w:szCs w:val="21"/>
              </w:rPr>
              <w:t>为用户提供个性化印章图片采样、制作服务</w:t>
            </w:r>
          </w:p>
        </w:tc>
      </w:tr>
    </w:tbl>
    <w:p w14:paraId="32AB5213">
      <w:pPr>
        <w:pStyle w:val="11"/>
        <w:ind w:left="0" w:firstLine="0" w:firstLineChars="0"/>
        <w:rPr>
          <w:rFonts w:hint="eastAsia"/>
          <w:sz w:val="21"/>
          <w:szCs w:val="21"/>
        </w:rPr>
      </w:pPr>
    </w:p>
    <w:p w14:paraId="717878D8">
      <w:pPr>
        <w:spacing w:before="156" w:beforeLines="50" w:line="360" w:lineRule="auto"/>
        <w:outlineLvl w:val="1"/>
        <w:rPr>
          <w:rFonts w:hint="eastAsia" w:ascii="宋体" w:hAnsi="宋体" w:eastAsia="宋体"/>
          <w:b/>
          <w:bCs/>
          <w:sz w:val="24"/>
          <w:szCs w:val="21"/>
          <w:u w:color="000000"/>
        </w:rPr>
      </w:pPr>
      <w:r>
        <w:rPr>
          <w:rFonts w:hint="eastAsia" w:ascii="宋体" w:hAnsi="宋体" w:eastAsia="宋体"/>
          <w:b/>
          <w:bCs/>
          <w:sz w:val="24"/>
          <w:szCs w:val="21"/>
          <w:u w:color="000000"/>
        </w:rPr>
        <w:t>四、商务部分要求</w:t>
      </w:r>
    </w:p>
    <w:p w14:paraId="35C0DD6C">
      <w:pPr>
        <w:spacing w:line="360" w:lineRule="auto"/>
        <w:rPr>
          <w:rFonts w:hint="eastAsia" w:ascii="宋体" w:hAnsi="宋体" w:eastAsia="宋体"/>
          <w:szCs w:val="21"/>
        </w:rPr>
      </w:pPr>
      <w:r>
        <w:rPr>
          <w:rFonts w:hint="eastAsia" w:ascii="宋体" w:hAnsi="宋体" w:eastAsia="宋体"/>
          <w:b/>
          <w:szCs w:val="21"/>
        </w:rPr>
        <w:t>1、交付时间</w:t>
      </w:r>
      <w:r>
        <w:rPr>
          <w:rFonts w:hint="eastAsia" w:ascii="宋体" w:hAnsi="宋体" w:eastAsia="宋体"/>
          <w:color w:val="000000"/>
          <w:szCs w:val="21"/>
        </w:rPr>
        <w:t>：要求本项目自合同正式签署生效起2个自然日内完成。</w:t>
      </w:r>
    </w:p>
    <w:p w14:paraId="42FB41E4">
      <w:pPr>
        <w:spacing w:line="360" w:lineRule="auto"/>
        <w:rPr>
          <w:rFonts w:hint="eastAsia" w:ascii="宋体" w:hAnsi="宋体" w:eastAsia="宋体"/>
          <w:szCs w:val="21"/>
        </w:rPr>
      </w:pPr>
      <w:r>
        <w:rPr>
          <w:rFonts w:hint="eastAsia" w:ascii="宋体" w:hAnsi="宋体" w:eastAsia="宋体"/>
          <w:b/>
          <w:szCs w:val="21"/>
        </w:rPr>
        <w:t>2、</w:t>
      </w:r>
      <w:r>
        <w:rPr>
          <w:rFonts w:hint="eastAsia" w:ascii="宋体" w:hAnsi="宋体" w:eastAsia="宋体"/>
          <w:b/>
          <w:bCs/>
          <w:color w:val="000000"/>
          <w:szCs w:val="21"/>
        </w:rPr>
        <w:t>服务有效期</w:t>
      </w:r>
      <w:r>
        <w:rPr>
          <w:rFonts w:hint="eastAsia" w:ascii="宋体" w:hAnsi="宋体" w:eastAsia="宋体"/>
          <w:szCs w:val="21"/>
        </w:rPr>
        <w:t>：1年。</w:t>
      </w:r>
      <w:r>
        <w:rPr>
          <w:rFonts w:ascii="宋体" w:hAnsi="宋体" w:eastAsia="宋体"/>
          <w:szCs w:val="21"/>
        </w:rPr>
        <w:t xml:space="preserve"> </w:t>
      </w:r>
    </w:p>
    <w:p w14:paraId="3C1B9082">
      <w:pPr>
        <w:spacing w:line="360" w:lineRule="auto"/>
        <w:rPr>
          <w:rFonts w:hint="eastAsia" w:ascii="宋体" w:hAnsi="宋体" w:eastAsia="宋体"/>
          <w:bCs/>
          <w:szCs w:val="21"/>
        </w:rPr>
      </w:pPr>
      <w:r>
        <w:rPr>
          <w:rFonts w:hint="eastAsia" w:ascii="宋体" w:hAnsi="宋体" w:eastAsia="宋体"/>
          <w:b/>
          <w:szCs w:val="21"/>
        </w:rPr>
        <w:t>3、实施要求：</w:t>
      </w:r>
      <w:r>
        <w:rPr>
          <w:rFonts w:hint="eastAsia" w:ascii="宋体" w:hAnsi="宋体" w:eastAsia="宋体"/>
          <w:bCs/>
          <w:szCs w:val="21"/>
        </w:rPr>
        <w:t>投标人提供完整的项目实施方案，包含实施人员组织、项目组织结构、项目管理等内容。</w:t>
      </w:r>
    </w:p>
    <w:p w14:paraId="0883AC6A">
      <w:pPr>
        <w:spacing w:line="360" w:lineRule="auto"/>
        <w:rPr>
          <w:rFonts w:hint="eastAsia" w:ascii="宋体" w:hAnsi="宋体" w:eastAsia="宋体"/>
          <w:bCs/>
          <w:szCs w:val="21"/>
        </w:rPr>
      </w:pPr>
      <w:r>
        <w:rPr>
          <w:rFonts w:hint="eastAsia" w:ascii="宋体" w:hAnsi="宋体" w:eastAsia="宋体"/>
          <w:b/>
          <w:szCs w:val="21"/>
        </w:rPr>
        <w:t>4、售后服务要求</w:t>
      </w:r>
      <w:r>
        <w:rPr>
          <w:rFonts w:hint="eastAsia" w:ascii="宋体" w:hAnsi="宋体" w:eastAsia="宋体"/>
          <w:bCs/>
          <w:szCs w:val="21"/>
        </w:rPr>
        <w:t>：</w:t>
      </w:r>
    </w:p>
    <w:p w14:paraId="3E7A022D">
      <w:pPr>
        <w:pStyle w:val="45"/>
        <w:numPr>
          <w:ilvl w:val="0"/>
          <w:numId w:val="3"/>
        </w:numPr>
        <w:spacing w:line="360" w:lineRule="auto"/>
        <w:ind w:firstLineChars="0"/>
        <w:rPr>
          <w:rFonts w:hint="eastAsia" w:ascii="宋体" w:hAnsi="宋体" w:eastAsia="宋体"/>
          <w:bCs/>
          <w:szCs w:val="21"/>
        </w:rPr>
      </w:pPr>
      <w:r>
        <w:rPr>
          <w:rFonts w:ascii="宋体" w:hAnsi="宋体" w:eastAsia="宋体"/>
          <w:bCs/>
          <w:szCs w:val="21"/>
        </w:rPr>
        <w:t>投标人应当具有良好的服务理念和完善的售后服务体系，能够按照投标技术方案提供系统集成技术支持服务；</w:t>
      </w:r>
    </w:p>
    <w:p w14:paraId="69B23D81">
      <w:pPr>
        <w:pStyle w:val="45"/>
        <w:numPr>
          <w:ilvl w:val="0"/>
          <w:numId w:val="3"/>
        </w:numPr>
        <w:spacing w:line="360" w:lineRule="auto"/>
        <w:ind w:firstLineChars="0"/>
        <w:rPr>
          <w:rFonts w:hint="eastAsia" w:ascii="宋体" w:hAnsi="宋体" w:eastAsia="宋体"/>
          <w:bCs/>
          <w:szCs w:val="21"/>
        </w:rPr>
      </w:pPr>
      <w:r>
        <w:rPr>
          <w:rFonts w:ascii="宋体" w:hAnsi="宋体" w:eastAsia="宋体"/>
          <w:bCs/>
          <w:szCs w:val="21"/>
        </w:rPr>
        <w:t>证书</w:t>
      </w:r>
      <w:r>
        <w:rPr>
          <w:rFonts w:hint="eastAsia" w:ascii="宋体" w:hAnsi="宋体" w:eastAsia="宋体"/>
          <w:bCs/>
          <w:szCs w:val="21"/>
        </w:rPr>
        <w:t>服务期</w:t>
      </w:r>
      <w:r>
        <w:rPr>
          <w:rFonts w:ascii="宋体" w:hAnsi="宋体" w:eastAsia="宋体"/>
          <w:bCs/>
          <w:szCs w:val="21"/>
        </w:rPr>
        <w:t>不低于一年，质保期内服务免费。如发生质量问题，中标方须承担修复责任，如对医院方造成经济损失，由中标方赔偿；</w:t>
      </w:r>
    </w:p>
    <w:p w14:paraId="75EE70CD">
      <w:pPr>
        <w:pStyle w:val="45"/>
        <w:numPr>
          <w:ilvl w:val="0"/>
          <w:numId w:val="3"/>
        </w:numPr>
        <w:spacing w:line="360" w:lineRule="auto"/>
        <w:ind w:firstLineChars="0"/>
        <w:rPr>
          <w:rFonts w:hint="eastAsia" w:ascii="宋体" w:hAnsi="宋体" w:eastAsia="宋体"/>
          <w:bCs/>
          <w:szCs w:val="21"/>
        </w:rPr>
      </w:pPr>
      <w:r>
        <w:rPr>
          <w:rFonts w:ascii="宋体" w:hAnsi="宋体" w:eastAsia="宋体"/>
          <w:bCs/>
          <w:szCs w:val="21"/>
        </w:rPr>
        <w:t>在系统建设、使用、运维等过程中遇到问题时，都能够得到投标人相应的技术支持与帮助；</w:t>
      </w:r>
    </w:p>
    <w:p w14:paraId="576A5ABD">
      <w:pPr>
        <w:pStyle w:val="45"/>
        <w:numPr>
          <w:ilvl w:val="0"/>
          <w:numId w:val="3"/>
        </w:numPr>
        <w:spacing w:line="360" w:lineRule="auto"/>
        <w:ind w:firstLineChars="0"/>
        <w:rPr>
          <w:rFonts w:hint="eastAsia" w:ascii="宋体" w:hAnsi="宋体" w:eastAsia="宋体"/>
          <w:bCs/>
          <w:szCs w:val="21"/>
        </w:rPr>
      </w:pPr>
      <w:r>
        <w:rPr>
          <w:rFonts w:ascii="宋体" w:hAnsi="宋体" w:eastAsia="宋体"/>
          <w:bCs/>
          <w:szCs w:val="21"/>
        </w:rPr>
        <w:t>提供7×24小时热线电话、远程网络、现场等技术支持服务，对于系统故障，要求提供快速响应机制，满足医院业务连续性要求；</w:t>
      </w:r>
    </w:p>
    <w:p w14:paraId="2627DEA7">
      <w:pPr>
        <w:pStyle w:val="45"/>
        <w:numPr>
          <w:ilvl w:val="0"/>
          <w:numId w:val="3"/>
        </w:numPr>
        <w:spacing w:line="360" w:lineRule="auto"/>
        <w:ind w:firstLineChars="0"/>
        <w:rPr>
          <w:rFonts w:hint="eastAsia" w:ascii="宋体" w:hAnsi="宋体" w:eastAsia="宋体"/>
          <w:bCs/>
          <w:szCs w:val="21"/>
        </w:rPr>
      </w:pPr>
      <w:r>
        <w:rPr>
          <w:rFonts w:ascii="宋体" w:hAnsi="宋体" w:eastAsia="宋体"/>
          <w:bCs/>
          <w:szCs w:val="21"/>
        </w:rPr>
        <w:t>所有维护服务均参照且不低于原厂商标准维保服务标准。</w:t>
      </w:r>
    </w:p>
    <w:p w14:paraId="629565E9">
      <w:pPr>
        <w:spacing w:line="360" w:lineRule="auto"/>
        <w:rPr>
          <w:rFonts w:ascii="宋体" w:hAnsi="宋体" w:eastAsia="宋体"/>
          <w:szCs w:val="21"/>
        </w:rPr>
      </w:pPr>
      <w:r>
        <w:rPr>
          <w:rFonts w:hint="eastAsia" w:ascii="宋体" w:hAnsi="宋体" w:eastAsia="宋体"/>
          <w:b/>
          <w:szCs w:val="21"/>
        </w:rPr>
        <w:t>5、培训要求：</w:t>
      </w:r>
      <w:r>
        <w:rPr>
          <w:rFonts w:hint="eastAsia" w:ascii="宋体" w:hAnsi="宋体" w:eastAsia="宋体"/>
          <w:szCs w:val="21"/>
        </w:rPr>
        <w:t>供应商须提供操作培训方案，方案内容包括但不限于培训方式、培训课时及培训内容、培训目标成果等内容。</w:t>
      </w:r>
    </w:p>
    <w:p w14:paraId="7254D638">
      <w:pPr>
        <w:spacing w:line="440" w:lineRule="exact"/>
        <w:outlineLvl w:val="1"/>
        <w:rPr>
          <w:rFonts w:hint="eastAsia" w:ascii="宋体" w:hAnsi="宋体" w:eastAsia="宋体" w:cs="宋体"/>
          <w:b/>
          <w:sz w:val="21"/>
          <w:szCs w:val="21"/>
        </w:rPr>
      </w:pPr>
      <w:r>
        <w:rPr>
          <w:rFonts w:hint="eastAsia" w:ascii="宋体" w:hAnsi="宋体" w:eastAsia="宋体" w:cs="宋体"/>
          <w:b/>
          <w:sz w:val="21"/>
          <w:szCs w:val="21"/>
          <w:lang w:eastAsia="zh-CN"/>
        </w:rPr>
        <w:t>五</w:t>
      </w:r>
      <w:r>
        <w:rPr>
          <w:rFonts w:hint="eastAsia" w:ascii="宋体" w:hAnsi="宋体" w:eastAsia="宋体" w:cs="宋体"/>
          <w:b/>
          <w:sz w:val="21"/>
          <w:szCs w:val="21"/>
        </w:rPr>
        <w:t>、验收及付款方式</w:t>
      </w:r>
    </w:p>
    <w:p w14:paraId="3197D8DC">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1、验收：项目交货完成后由采购人按规定组织验收并签发验收单。如供需双方在合同有效期内对本项目质量问题发生争议，以有权鉴定部门出具的质量鉴定结果为准。</w:t>
      </w:r>
    </w:p>
    <w:p w14:paraId="2EEF52AC">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2、付款：成交供应商凭采购合同、验收单（经验收合格）及正式发票向如东县人民医院按规定进行资金结算。</w:t>
      </w:r>
    </w:p>
    <w:p w14:paraId="44922E87">
      <w:pPr>
        <w:pStyle w:val="25"/>
        <w:rPr>
          <w:rFonts w:ascii="宋体" w:hAnsi="宋体" w:cstheme="minorBidi"/>
          <w:kern w:val="2"/>
          <w:sz w:val="24"/>
          <w:szCs w:val="24"/>
        </w:rPr>
      </w:pPr>
    </w:p>
    <w:p w14:paraId="36A8E719">
      <w:pPr>
        <w:pStyle w:val="25"/>
        <w:rPr>
          <w:rFonts w:ascii="宋体" w:hAnsi="宋体" w:cstheme="minorBidi"/>
          <w:kern w:val="2"/>
          <w:sz w:val="24"/>
          <w:szCs w:val="24"/>
        </w:rPr>
      </w:pPr>
    </w:p>
    <w:p w14:paraId="5BF89187">
      <w:pPr>
        <w:pStyle w:val="25"/>
        <w:rPr>
          <w:rFonts w:hint="eastAsia" w:ascii="宋体" w:hAnsi="宋体" w:cstheme="minorBidi"/>
          <w:kern w:val="2"/>
          <w:sz w:val="24"/>
          <w:szCs w:val="24"/>
        </w:rPr>
      </w:pPr>
    </w:p>
    <w:p w14:paraId="55597E73">
      <w:pPr>
        <w:pStyle w:val="25"/>
        <w:rPr>
          <w:rFonts w:ascii="宋体" w:hAnsi="宋体" w:cstheme="minorBidi"/>
          <w:kern w:val="2"/>
          <w:sz w:val="24"/>
          <w:szCs w:val="24"/>
        </w:rPr>
      </w:pPr>
    </w:p>
    <w:p w14:paraId="0423A672">
      <w:pPr>
        <w:pStyle w:val="25"/>
        <w:rPr>
          <w:rFonts w:ascii="宋体" w:hAnsi="宋体" w:cstheme="minorBidi"/>
          <w:kern w:val="2"/>
          <w:sz w:val="21"/>
          <w:szCs w:val="21"/>
        </w:rPr>
      </w:pPr>
    </w:p>
    <w:p w14:paraId="4A3971A6">
      <w:pPr>
        <w:pStyle w:val="25"/>
        <w:rPr>
          <w:rFonts w:ascii="宋体" w:hAnsi="宋体" w:cstheme="minorBidi"/>
          <w:kern w:val="2"/>
          <w:sz w:val="21"/>
          <w:szCs w:val="21"/>
        </w:rPr>
      </w:pPr>
    </w:p>
    <w:p w14:paraId="1128B9C3">
      <w:pPr>
        <w:pStyle w:val="25"/>
        <w:rPr>
          <w:rFonts w:ascii="宋体" w:hAnsi="宋体" w:cstheme="minorBidi"/>
          <w:kern w:val="2"/>
          <w:sz w:val="21"/>
          <w:szCs w:val="21"/>
        </w:rPr>
      </w:pPr>
    </w:p>
    <w:p w14:paraId="4348CDD4">
      <w:pPr>
        <w:pStyle w:val="25"/>
        <w:rPr>
          <w:rFonts w:ascii="宋体" w:hAnsi="宋体" w:cstheme="minorBidi"/>
          <w:kern w:val="2"/>
          <w:sz w:val="21"/>
          <w:szCs w:val="21"/>
        </w:rPr>
      </w:pPr>
    </w:p>
    <w:p w14:paraId="22E580E0">
      <w:pPr>
        <w:pStyle w:val="25"/>
        <w:rPr>
          <w:rFonts w:ascii="宋体" w:hAnsi="宋体" w:cstheme="minorBidi"/>
          <w:kern w:val="2"/>
          <w:sz w:val="21"/>
          <w:szCs w:val="21"/>
        </w:rPr>
      </w:pPr>
    </w:p>
    <w:p w14:paraId="323DE8E8">
      <w:pPr>
        <w:pStyle w:val="25"/>
      </w:pPr>
    </w:p>
    <w:p w14:paraId="4A873283">
      <w:pPr>
        <w:pStyle w:val="25"/>
      </w:pPr>
    </w:p>
    <w:p w14:paraId="6BC60CEA">
      <w:pPr>
        <w:pStyle w:val="25"/>
      </w:pPr>
    </w:p>
    <w:p w14:paraId="633C52AD">
      <w:pPr>
        <w:pStyle w:val="25"/>
      </w:pPr>
    </w:p>
    <w:p w14:paraId="5CF185CE">
      <w:pPr>
        <w:pStyle w:val="25"/>
      </w:pPr>
    </w:p>
    <w:p w14:paraId="7A8CEAA1">
      <w:pPr>
        <w:pStyle w:val="25"/>
      </w:pPr>
    </w:p>
    <w:p w14:paraId="513158FA">
      <w:pPr>
        <w:pStyle w:val="25"/>
      </w:pPr>
    </w:p>
    <w:p w14:paraId="4A456A17">
      <w:pPr>
        <w:pStyle w:val="25"/>
      </w:pPr>
    </w:p>
    <w:p w14:paraId="0406C370">
      <w:pPr>
        <w:pStyle w:val="25"/>
      </w:pPr>
    </w:p>
    <w:p w14:paraId="7BD8A882">
      <w:pPr>
        <w:pStyle w:val="25"/>
      </w:pPr>
    </w:p>
    <w:p w14:paraId="528C167B">
      <w:pPr>
        <w:pStyle w:val="25"/>
      </w:pPr>
    </w:p>
    <w:p w14:paraId="42719CF2">
      <w:pPr>
        <w:pStyle w:val="25"/>
      </w:pPr>
    </w:p>
    <w:p w14:paraId="331100EB">
      <w:pPr>
        <w:pStyle w:val="25"/>
      </w:pPr>
    </w:p>
    <w:p w14:paraId="4383F520">
      <w:pPr>
        <w:pStyle w:val="25"/>
      </w:pPr>
    </w:p>
    <w:p w14:paraId="48A1937B">
      <w:pPr>
        <w:pStyle w:val="25"/>
      </w:pPr>
    </w:p>
    <w:p w14:paraId="1674E628">
      <w:pPr>
        <w:pStyle w:val="25"/>
      </w:pPr>
    </w:p>
    <w:p w14:paraId="44723504">
      <w:pPr>
        <w:pStyle w:val="25"/>
      </w:pPr>
    </w:p>
    <w:p w14:paraId="05A04C87">
      <w:pPr>
        <w:pStyle w:val="25"/>
      </w:pPr>
    </w:p>
    <w:p w14:paraId="51DE50EB">
      <w:pPr>
        <w:pStyle w:val="25"/>
      </w:pPr>
    </w:p>
    <w:p w14:paraId="3599F2B5">
      <w:pPr>
        <w:pStyle w:val="25"/>
      </w:pPr>
    </w:p>
    <w:p w14:paraId="2F22FE31">
      <w:pPr>
        <w:pStyle w:val="25"/>
      </w:pPr>
    </w:p>
    <w:p w14:paraId="479044FA">
      <w:pPr>
        <w:pStyle w:val="25"/>
      </w:pPr>
    </w:p>
    <w:p w14:paraId="65A677F5">
      <w:pPr>
        <w:pStyle w:val="25"/>
      </w:pPr>
    </w:p>
    <w:p w14:paraId="58EB8ECF">
      <w:pPr>
        <w:pStyle w:val="25"/>
      </w:pPr>
    </w:p>
    <w:p w14:paraId="28A44983">
      <w:pPr>
        <w:pStyle w:val="25"/>
      </w:pPr>
    </w:p>
    <w:p w14:paraId="703CA295">
      <w:pPr>
        <w:pStyle w:val="25"/>
      </w:pPr>
    </w:p>
    <w:p w14:paraId="731B6CF9">
      <w:pPr>
        <w:pStyle w:val="25"/>
      </w:pPr>
    </w:p>
    <w:p w14:paraId="25C2360A">
      <w:pPr>
        <w:pStyle w:val="25"/>
      </w:pPr>
    </w:p>
    <w:p w14:paraId="5FE045E8">
      <w:pPr>
        <w:pStyle w:val="25"/>
      </w:pPr>
    </w:p>
    <w:p w14:paraId="63B63477">
      <w:pPr>
        <w:pStyle w:val="25"/>
      </w:pPr>
    </w:p>
    <w:p w14:paraId="1E87E0DE">
      <w:pPr>
        <w:pStyle w:val="25"/>
      </w:pPr>
    </w:p>
    <w:p w14:paraId="38E83B2C">
      <w:pPr>
        <w:pStyle w:val="25"/>
      </w:pPr>
    </w:p>
    <w:p w14:paraId="7C913D2E">
      <w:pPr>
        <w:pStyle w:val="25"/>
      </w:pPr>
    </w:p>
    <w:p w14:paraId="70D7D5CE">
      <w:pPr>
        <w:pStyle w:val="25"/>
      </w:pPr>
    </w:p>
    <w:p w14:paraId="55630455">
      <w:pPr>
        <w:pStyle w:val="25"/>
      </w:pPr>
    </w:p>
    <w:p w14:paraId="4B8B4AE7">
      <w:pPr>
        <w:pStyle w:val="5"/>
        <w:ind w:firstLine="2209" w:firstLineChars="500"/>
        <w:jc w:val="both"/>
      </w:pPr>
      <w:r>
        <w:rPr>
          <w:rFonts w:hint="eastAsia"/>
          <w:sz w:val="44"/>
          <w:szCs w:val="44"/>
        </w:rPr>
        <w:t>第四章</w:t>
      </w:r>
      <w:r>
        <w:rPr>
          <w:sz w:val="44"/>
          <w:szCs w:val="44"/>
        </w:rPr>
        <w:t>、评分标准</w:t>
      </w:r>
    </w:p>
    <w:p w14:paraId="39C56140">
      <w:pPr>
        <w:pStyle w:val="5"/>
        <w:numPr>
          <w:ilvl w:val="0"/>
          <w:numId w:val="4"/>
        </w:numPr>
        <w:spacing w:before="60" w:after="60" w:line="400" w:lineRule="atLeast"/>
        <w:rPr>
          <w:rFonts w:ascii="Times New Roman" w:hAnsi="Times New Roman" w:cs="Times New Roman"/>
          <w:sz w:val="24"/>
          <w:szCs w:val="24"/>
        </w:rPr>
      </w:pPr>
      <w:bookmarkStart w:id="7" w:name="_Toc335123872"/>
      <w:bookmarkStart w:id="8" w:name="_Toc503278524"/>
      <w:r>
        <w:rPr>
          <w:rFonts w:ascii="Times New Roman" w:hAnsi="Times New Roman" w:cs="Times New Roman"/>
          <w:sz w:val="28"/>
          <w:szCs w:val="28"/>
        </w:rPr>
        <w:t>评标方法与定标原则</w:t>
      </w:r>
      <w:bookmarkEnd w:id="7"/>
      <w:bookmarkEnd w:id="8"/>
    </w:p>
    <w:p w14:paraId="6430AC37">
      <w:pPr>
        <w:spacing w:line="360" w:lineRule="auto"/>
        <w:ind w:firstLine="600"/>
        <w:rPr>
          <w:rFonts w:hint="eastAsia" w:ascii="宋体" w:hAnsi="宋体" w:cs="宋体"/>
          <w:bCs/>
          <w:sz w:val="24"/>
        </w:rPr>
      </w:pPr>
      <w:r>
        <w:rPr>
          <w:rFonts w:hint="eastAsia" w:ascii="宋体" w:hAnsi="宋体" w:cs="宋体"/>
          <w:bCs/>
          <w:sz w:val="24"/>
        </w:rPr>
        <w:t>1.经磋商确定最终采购需求和提交最后报价的供应商后，由磋商小组采用综合评分法对提交最后报价的供应商的响应文件和最后报价进行综合评分。</w:t>
      </w:r>
    </w:p>
    <w:p w14:paraId="3A4B9D43">
      <w:pPr>
        <w:spacing w:line="360" w:lineRule="auto"/>
        <w:ind w:firstLine="600"/>
        <w:rPr>
          <w:rFonts w:hint="eastAsia" w:ascii="宋体" w:hAnsi="宋体" w:cs="宋体"/>
          <w:bCs/>
          <w:sz w:val="24"/>
        </w:rPr>
      </w:pPr>
      <w:r>
        <w:rPr>
          <w:rFonts w:hint="eastAsia" w:ascii="宋体" w:hAnsi="宋体" w:cs="宋体"/>
          <w:bCs/>
          <w:sz w:val="24"/>
        </w:rPr>
        <w:t>综合评分法，是指响应文件满足磋商文件全部实质性要求且按评审因素的量化指标评审得分最高的供应商为成交候选供应商的评审方法。按评审后各评委打分算数和的平均得分由高到低顺序排列。得分相同的，按最后报价由低到高顺序排列。得分且最后报价相同的，按产品性能部分的得分优劣顺序排列。评委会根据本采购文件规定评分办法与评分标准，按照各供应商的得分由高到低的顺序确定成交候选人。</w:t>
      </w:r>
    </w:p>
    <w:p w14:paraId="01DCE0AC">
      <w:pPr>
        <w:spacing w:line="360" w:lineRule="auto"/>
        <w:ind w:firstLine="600"/>
        <w:rPr>
          <w:rFonts w:hint="eastAsia" w:ascii="宋体" w:hAnsi="宋体" w:cs="宋体"/>
          <w:bCs/>
          <w:sz w:val="24"/>
        </w:rPr>
      </w:pPr>
      <w:r>
        <w:rPr>
          <w:rFonts w:hint="eastAsia" w:ascii="宋体" w:hAnsi="宋体" w:cs="宋体"/>
          <w:bCs/>
          <w:sz w:val="24"/>
        </w:rPr>
        <w:t>2.评分过程中采用“四舍五入”法，并保留小数2位。</w:t>
      </w:r>
    </w:p>
    <w:p w14:paraId="11A3C4FC">
      <w:pPr>
        <w:spacing w:line="360" w:lineRule="auto"/>
        <w:ind w:left="210" w:firstLine="360"/>
        <w:rPr>
          <w:rFonts w:hint="eastAsia" w:ascii="宋体" w:hAnsi="宋体" w:cs="宋体"/>
          <w:bCs/>
          <w:sz w:val="24"/>
        </w:rPr>
      </w:pPr>
      <w:r>
        <w:rPr>
          <w:rFonts w:hint="eastAsia" w:ascii="宋体" w:hAnsi="宋体" w:cs="宋体"/>
          <w:bCs/>
          <w:sz w:val="24"/>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14:paraId="52C8A840">
      <w:pPr>
        <w:spacing w:before="60" w:after="60" w:line="400" w:lineRule="atLeast"/>
        <w:ind w:firstLine="480" w:firstLineChars="200"/>
        <w:rPr>
          <w:rFonts w:hint="eastAsia" w:ascii="宋体" w:hAnsi="宋体" w:cs="宋体"/>
          <w:bCs/>
          <w:sz w:val="24"/>
        </w:rPr>
      </w:pPr>
      <w:r>
        <w:rPr>
          <w:rFonts w:hint="eastAsia" w:ascii="宋体" w:hAnsi="宋体" w:cs="宋体"/>
          <w:bCs/>
          <w:sz w:val="24"/>
        </w:rPr>
        <w:t>4.采购人根据磋商小组推荐的成交候选人排名顺序依次规定确定成交人，成交候选人有涉及对标书实证性内容的隐瞒、欺诈或违法违规行为，将被取消成交资格。</w:t>
      </w:r>
    </w:p>
    <w:p w14:paraId="76EB92A3">
      <w:pPr>
        <w:pStyle w:val="5"/>
        <w:spacing w:before="0" w:after="0"/>
        <w:rPr>
          <w:rFonts w:hint="eastAsia" w:ascii="宋体" w:hAnsi="宋体" w:cs="宋体"/>
          <w:sz w:val="28"/>
          <w:szCs w:val="28"/>
        </w:rPr>
      </w:pPr>
      <w:r>
        <w:rPr>
          <w:rFonts w:hint="eastAsia" w:ascii="宋体" w:hAnsi="宋体" w:cs="宋体"/>
          <w:sz w:val="28"/>
          <w:szCs w:val="28"/>
        </w:rPr>
        <w:t>二、评标标准</w:t>
      </w:r>
    </w:p>
    <w:p w14:paraId="46656CED">
      <w:pPr>
        <w:pStyle w:val="4"/>
        <w:rPr>
          <w:rFonts w:ascii="宋体" w:hAnsi="宋体" w:cs="宋体"/>
          <w:sz w:val="24"/>
          <w:szCs w:val="24"/>
        </w:rPr>
      </w:pPr>
      <w:r>
        <w:rPr>
          <w:rFonts w:hint="eastAsia" w:ascii="宋体" w:hAnsi="宋体" w:cs="宋体"/>
          <w:sz w:val="24"/>
          <w:szCs w:val="24"/>
        </w:rPr>
        <w:t xml:space="preserve">（一）本项目采用综合评分法确定中标（候选）人。磋商小组将按下列评分办法和标准进行评分，总分值为100分。 </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26"/>
        <w:gridCol w:w="6361"/>
        <w:gridCol w:w="993"/>
      </w:tblGrid>
      <w:tr w14:paraId="4155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3" w:type="dxa"/>
            <w:tcBorders>
              <w:tl2br w:val="nil"/>
              <w:tr2bl w:val="nil"/>
            </w:tcBorders>
            <w:shd w:val="clear" w:color="auto" w:fill="auto"/>
            <w:vAlign w:val="center"/>
          </w:tcPr>
          <w:p w14:paraId="5FB900FB">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序号</w:t>
            </w:r>
          </w:p>
        </w:tc>
        <w:tc>
          <w:tcPr>
            <w:tcW w:w="1426" w:type="dxa"/>
            <w:tcBorders>
              <w:tl2br w:val="nil"/>
              <w:tr2bl w:val="nil"/>
            </w:tcBorders>
            <w:shd w:val="clear" w:color="auto" w:fill="auto"/>
            <w:vAlign w:val="center"/>
          </w:tcPr>
          <w:p w14:paraId="576782A3">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评审因素</w:t>
            </w:r>
          </w:p>
        </w:tc>
        <w:tc>
          <w:tcPr>
            <w:tcW w:w="6361" w:type="dxa"/>
            <w:tcBorders>
              <w:tl2br w:val="nil"/>
              <w:tr2bl w:val="nil"/>
            </w:tcBorders>
            <w:shd w:val="clear" w:color="auto" w:fill="auto"/>
            <w:vAlign w:val="center"/>
          </w:tcPr>
          <w:p w14:paraId="390B7ECF">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评审细则</w:t>
            </w:r>
          </w:p>
        </w:tc>
        <w:tc>
          <w:tcPr>
            <w:tcW w:w="993" w:type="dxa"/>
            <w:tcBorders>
              <w:tl2br w:val="nil"/>
              <w:tr2bl w:val="nil"/>
            </w:tcBorders>
            <w:shd w:val="clear" w:color="auto" w:fill="auto"/>
            <w:vAlign w:val="center"/>
          </w:tcPr>
          <w:p w14:paraId="090C8BA4">
            <w:pPr>
              <w:widowControl/>
              <w:spacing w:line="360" w:lineRule="auto"/>
              <w:rPr>
                <w:rFonts w:hint="eastAsia" w:ascii="宋体" w:hAnsi="宋体" w:eastAsia="宋体" w:cstheme="minorEastAsia"/>
                <w:color w:val="000000"/>
                <w:szCs w:val="21"/>
              </w:rPr>
            </w:pPr>
            <w:r>
              <w:rPr>
                <w:rFonts w:hint="eastAsia" w:ascii="宋体" w:hAnsi="宋体" w:eastAsia="宋体" w:cstheme="minorEastAsia"/>
                <w:color w:val="000000"/>
                <w:szCs w:val="21"/>
              </w:rPr>
              <w:t>分值</w:t>
            </w:r>
          </w:p>
        </w:tc>
      </w:tr>
      <w:tr w14:paraId="058C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93" w:type="dxa"/>
            <w:gridSpan w:val="4"/>
            <w:tcBorders>
              <w:tl2br w:val="nil"/>
              <w:tr2bl w:val="nil"/>
            </w:tcBorders>
            <w:shd w:val="clear" w:color="auto" w:fill="auto"/>
            <w:vAlign w:val="center"/>
          </w:tcPr>
          <w:p w14:paraId="13D24ACB">
            <w:pPr>
              <w:widowControl/>
              <w:spacing w:line="360" w:lineRule="auto"/>
              <w:rPr>
                <w:rFonts w:hint="eastAsia" w:ascii="宋体" w:hAnsi="宋体" w:eastAsia="宋体" w:cstheme="minorEastAsia"/>
                <w:color w:val="000000"/>
                <w:szCs w:val="21"/>
              </w:rPr>
            </w:pPr>
            <w:r>
              <w:rPr>
                <w:rFonts w:hint="eastAsia" w:ascii="宋体" w:hAnsi="宋体" w:eastAsia="宋体" w:cstheme="minorEastAsia"/>
                <w:color w:val="000000"/>
                <w:szCs w:val="21"/>
              </w:rPr>
              <w:t>价格</w:t>
            </w:r>
          </w:p>
        </w:tc>
      </w:tr>
      <w:tr w14:paraId="1DB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3" w:type="dxa"/>
            <w:tcBorders>
              <w:tl2br w:val="nil"/>
              <w:tr2bl w:val="nil"/>
            </w:tcBorders>
            <w:shd w:val="clear" w:color="auto" w:fill="auto"/>
            <w:vAlign w:val="center"/>
          </w:tcPr>
          <w:p w14:paraId="6950DFC5">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1</w:t>
            </w:r>
          </w:p>
        </w:tc>
        <w:tc>
          <w:tcPr>
            <w:tcW w:w="1426" w:type="dxa"/>
            <w:tcBorders>
              <w:tl2br w:val="nil"/>
              <w:tr2bl w:val="nil"/>
            </w:tcBorders>
            <w:shd w:val="clear" w:color="auto" w:fill="auto"/>
            <w:vAlign w:val="center"/>
          </w:tcPr>
          <w:p w14:paraId="5EA57DFA">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价格</w:t>
            </w:r>
          </w:p>
        </w:tc>
        <w:tc>
          <w:tcPr>
            <w:tcW w:w="6361" w:type="dxa"/>
            <w:tcBorders>
              <w:tl2br w:val="nil"/>
              <w:tr2bl w:val="nil"/>
            </w:tcBorders>
            <w:shd w:val="clear" w:color="auto" w:fill="auto"/>
            <w:vAlign w:val="center"/>
          </w:tcPr>
          <w:p w14:paraId="0DDED1DD">
            <w:pPr>
              <w:widowControl/>
              <w:spacing w:line="360" w:lineRule="auto"/>
              <w:rPr>
                <w:rFonts w:hint="eastAsia" w:ascii="宋体" w:hAnsi="宋体" w:eastAsia="宋体" w:cstheme="minorEastAsia"/>
                <w:color w:val="000000"/>
                <w:szCs w:val="21"/>
              </w:rPr>
            </w:pPr>
            <w:r>
              <w:rPr>
                <w:rFonts w:hint="eastAsia" w:asciiTheme="minorEastAsia" w:hAnsiTheme="minorEastAsia" w:cstheme="minorEastAsia"/>
                <w:sz w:val="24"/>
                <w:szCs w:val="24"/>
              </w:rPr>
              <w:t>价格分采用低价优先法计算，即满足磋商文件要求且最后报价最低的供应商价格为磋商基准价，其价格分为满分10分。其他供应商的价格分统一按下列公式计算：报价得分=（磋商基准价/最后磋商报价）×10，价格分保留两位小数。</w:t>
            </w:r>
          </w:p>
        </w:tc>
        <w:tc>
          <w:tcPr>
            <w:tcW w:w="993" w:type="dxa"/>
            <w:tcBorders>
              <w:tl2br w:val="nil"/>
              <w:tr2bl w:val="nil"/>
            </w:tcBorders>
            <w:shd w:val="clear" w:color="auto" w:fill="auto"/>
            <w:vAlign w:val="center"/>
          </w:tcPr>
          <w:p w14:paraId="3825D04B">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10</w:t>
            </w:r>
          </w:p>
        </w:tc>
      </w:tr>
      <w:tr w14:paraId="4E6C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93" w:type="dxa"/>
            <w:gridSpan w:val="4"/>
            <w:tcBorders>
              <w:tl2br w:val="nil"/>
              <w:tr2bl w:val="nil"/>
            </w:tcBorders>
            <w:shd w:val="clear" w:color="auto" w:fill="auto"/>
            <w:vAlign w:val="center"/>
          </w:tcPr>
          <w:p w14:paraId="38271565">
            <w:pPr>
              <w:widowControl/>
              <w:spacing w:line="360" w:lineRule="auto"/>
              <w:rPr>
                <w:rFonts w:hint="eastAsia" w:ascii="宋体" w:hAnsi="宋体" w:eastAsia="宋体" w:cstheme="minorEastAsia"/>
                <w:color w:val="000000"/>
                <w:szCs w:val="21"/>
              </w:rPr>
            </w:pPr>
            <w:r>
              <w:rPr>
                <w:rFonts w:hint="eastAsia" w:ascii="宋体" w:hAnsi="宋体" w:eastAsia="宋体" w:cstheme="minorEastAsia"/>
                <w:color w:val="000000"/>
                <w:szCs w:val="21"/>
              </w:rPr>
              <w:t>技术</w:t>
            </w:r>
          </w:p>
        </w:tc>
      </w:tr>
      <w:tr w14:paraId="4A71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13" w:type="dxa"/>
            <w:tcBorders>
              <w:tl2br w:val="nil"/>
              <w:tr2bl w:val="nil"/>
            </w:tcBorders>
            <w:shd w:val="clear" w:color="auto" w:fill="auto"/>
            <w:vAlign w:val="center"/>
          </w:tcPr>
          <w:p w14:paraId="37CA5D3E">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2.1</w:t>
            </w:r>
          </w:p>
        </w:tc>
        <w:tc>
          <w:tcPr>
            <w:tcW w:w="1426" w:type="dxa"/>
            <w:tcBorders>
              <w:tl2br w:val="nil"/>
              <w:tr2bl w:val="nil"/>
            </w:tcBorders>
            <w:shd w:val="clear" w:color="auto" w:fill="auto"/>
            <w:vAlign w:val="center"/>
          </w:tcPr>
          <w:p w14:paraId="6967EBA3">
            <w:pPr>
              <w:widowControl/>
              <w:spacing w:line="360" w:lineRule="auto"/>
              <w:jc w:val="center"/>
              <w:rPr>
                <w:rFonts w:hint="eastAsia" w:ascii="宋体" w:hAnsi="宋体" w:eastAsia="宋体" w:cstheme="minorEastAsia"/>
                <w:color w:val="000000"/>
                <w:szCs w:val="21"/>
              </w:rPr>
            </w:pPr>
            <w:r>
              <w:rPr>
                <w:rFonts w:hint="eastAsia" w:ascii="宋体" w:hAnsi="宋体" w:eastAsia="宋体"/>
                <w:color w:val="000000"/>
                <w:szCs w:val="21"/>
              </w:rPr>
              <w:t>产品功能、性能、配置要求</w:t>
            </w:r>
          </w:p>
        </w:tc>
        <w:tc>
          <w:tcPr>
            <w:tcW w:w="6361" w:type="dxa"/>
            <w:tcBorders>
              <w:tl2br w:val="nil"/>
              <w:tr2bl w:val="nil"/>
            </w:tcBorders>
            <w:shd w:val="clear" w:color="auto" w:fill="auto"/>
            <w:vAlign w:val="center"/>
          </w:tcPr>
          <w:p w14:paraId="52C7BD6E">
            <w:pPr>
              <w:widowControl/>
              <w:spacing w:line="360" w:lineRule="auto"/>
              <w:rPr>
                <w:rFonts w:hint="eastAsia" w:ascii="宋体" w:hAnsi="宋体" w:eastAsia="宋体" w:cstheme="minorEastAsia"/>
                <w:szCs w:val="21"/>
              </w:rPr>
            </w:pPr>
            <w:r>
              <w:rPr>
                <w:rFonts w:hint="eastAsia" w:ascii="宋体" w:hAnsi="宋体" w:eastAsia="宋体"/>
                <w:szCs w:val="21"/>
              </w:rPr>
              <w:t>技术参数全部满足磋商要求的得满分35分；打★号指标为必须满足项，如有负偏离将作为无效投标；打▲号指标为重要指标，有一项负偏离扣</w:t>
            </w:r>
            <w:r>
              <w:rPr>
                <w:rFonts w:ascii="宋体" w:hAnsi="宋体" w:eastAsia="宋体"/>
                <w:szCs w:val="21"/>
              </w:rPr>
              <w:t>5分；</w:t>
            </w:r>
            <w:r>
              <w:rPr>
                <w:rFonts w:hint="eastAsia" w:ascii="宋体" w:hAnsi="宋体" w:eastAsia="宋体"/>
                <w:szCs w:val="21"/>
              </w:rPr>
              <w:t>其他参数，有一项负偏离扣</w:t>
            </w:r>
            <w:r>
              <w:rPr>
                <w:rFonts w:ascii="宋体" w:hAnsi="宋体" w:eastAsia="宋体"/>
                <w:szCs w:val="21"/>
              </w:rPr>
              <w:t>2</w:t>
            </w:r>
            <w:r>
              <w:rPr>
                <w:rFonts w:hint="eastAsia" w:ascii="宋体" w:hAnsi="宋体" w:eastAsia="宋体"/>
                <w:szCs w:val="21"/>
              </w:rPr>
              <w:t>分， 扣完为止。严重负偏离影响设备性能的经半数以上评委认定，本项得零分。</w:t>
            </w:r>
          </w:p>
        </w:tc>
        <w:tc>
          <w:tcPr>
            <w:tcW w:w="993" w:type="dxa"/>
            <w:tcBorders>
              <w:tl2br w:val="nil"/>
              <w:tr2bl w:val="nil"/>
            </w:tcBorders>
            <w:shd w:val="clear" w:color="auto" w:fill="auto"/>
            <w:vAlign w:val="center"/>
          </w:tcPr>
          <w:p w14:paraId="53BB1068">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35</w:t>
            </w:r>
          </w:p>
        </w:tc>
      </w:tr>
      <w:tr w14:paraId="7C70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13" w:type="dxa"/>
            <w:tcBorders>
              <w:tl2br w:val="nil"/>
              <w:tr2bl w:val="nil"/>
            </w:tcBorders>
            <w:shd w:val="clear" w:color="auto" w:fill="auto"/>
            <w:vAlign w:val="center"/>
          </w:tcPr>
          <w:p w14:paraId="785A2922">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2</w:t>
            </w:r>
            <w:r>
              <w:rPr>
                <w:rFonts w:ascii="宋体" w:hAnsi="宋体" w:eastAsia="宋体" w:cstheme="minorEastAsia"/>
                <w:color w:val="000000"/>
                <w:szCs w:val="21"/>
              </w:rPr>
              <w:t>.2</w:t>
            </w:r>
          </w:p>
        </w:tc>
        <w:tc>
          <w:tcPr>
            <w:tcW w:w="1426" w:type="dxa"/>
            <w:tcBorders>
              <w:tl2br w:val="nil"/>
              <w:tr2bl w:val="nil"/>
            </w:tcBorders>
            <w:shd w:val="clear" w:color="auto" w:fill="auto"/>
            <w:vAlign w:val="center"/>
          </w:tcPr>
          <w:p w14:paraId="35E8FD41">
            <w:pPr>
              <w:widowControl/>
              <w:spacing w:line="360" w:lineRule="auto"/>
              <w:jc w:val="center"/>
              <w:rPr>
                <w:rFonts w:hint="eastAsia" w:ascii="宋体" w:hAnsi="宋体" w:eastAsia="宋体"/>
                <w:color w:val="000000"/>
                <w:szCs w:val="21"/>
              </w:rPr>
            </w:pPr>
            <w:r>
              <w:rPr>
                <w:rFonts w:hint="eastAsia" w:ascii="宋体" w:hAnsi="宋体" w:eastAsia="宋体"/>
                <w:color w:val="000000"/>
                <w:szCs w:val="21"/>
              </w:rPr>
              <w:t>实施方案</w:t>
            </w:r>
          </w:p>
        </w:tc>
        <w:tc>
          <w:tcPr>
            <w:tcW w:w="6361" w:type="dxa"/>
            <w:tcBorders>
              <w:tl2br w:val="nil"/>
              <w:tr2bl w:val="nil"/>
            </w:tcBorders>
            <w:shd w:val="clear" w:color="auto" w:fill="auto"/>
            <w:vAlign w:val="center"/>
          </w:tcPr>
          <w:p w14:paraId="464882DA">
            <w:pPr>
              <w:widowControl/>
              <w:spacing w:line="360" w:lineRule="auto"/>
              <w:rPr>
                <w:rFonts w:hint="eastAsia" w:ascii="宋体" w:hAnsi="宋体" w:eastAsia="宋体"/>
                <w:szCs w:val="21"/>
              </w:rPr>
            </w:pPr>
            <w:r>
              <w:rPr>
                <w:rFonts w:hint="eastAsia" w:ascii="宋体" w:hAnsi="宋体" w:eastAsia="宋体"/>
                <w:szCs w:val="21"/>
              </w:rPr>
              <w:t>实施方案全面，具有合理的进度安排、组织架构，具有良好的进度控制、风险控制管理、质量保障措施、安全管理措施、文档管理措施，得</w:t>
            </w:r>
            <w:r>
              <w:rPr>
                <w:rFonts w:ascii="宋体" w:hAnsi="宋体" w:eastAsia="宋体"/>
                <w:szCs w:val="21"/>
              </w:rPr>
              <w:t>1</w:t>
            </w:r>
            <w:r>
              <w:rPr>
                <w:rFonts w:hint="eastAsia" w:ascii="宋体" w:hAnsi="宋体" w:eastAsia="宋体"/>
                <w:szCs w:val="21"/>
              </w:rPr>
              <w:t>5</w:t>
            </w:r>
            <w:r>
              <w:rPr>
                <w:rFonts w:ascii="宋体" w:hAnsi="宋体" w:eastAsia="宋体"/>
                <w:szCs w:val="21"/>
              </w:rPr>
              <w:t>分；</w:t>
            </w:r>
          </w:p>
          <w:p w14:paraId="66D0AFAC">
            <w:pPr>
              <w:widowControl/>
              <w:spacing w:line="360" w:lineRule="auto"/>
              <w:rPr>
                <w:rFonts w:hint="eastAsia" w:ascii="宋体" w:hAnsi="宋体" w:eastAsia="宋体"/>
                <w:szCs w:val="21"/>
              </w:rPr>
            </w:pPr>
            <w:r>
              <w:rPr>
                <w:rFonts w:hint="eastAsia" w:ascii="宋体" w:hAnsi="宋体" w:eastAsia="宋体"/>
                <w:szCs w:val="21"/>
              </w:rPr>
              <w:t>实施方案较全面，进度安排、组织架构基本合理，进度控制、风险控制管理、质量保障措施、安全管理措施、文档管理措施基本满足需求，得10</w:t>
            </w:r>
            <w:r>
              <w:rPr>
                <w:rFonts w:ascii="宋体" w:hAnsi="宋体" w:eastAsia="宋体"/>
                <w:szCs w:val="21"/>
              </w:rPr>
              <w:t>分；</w:t>
            </w:r>
          </w:p>
          <w:p w14:paraId="6EF04873">
            <w:pPr>
              <w:widowControl/>
              <w:spacing w:line="360" w:lineRule="auto"/>
              <w:rPr>
                <w:rFonts w:hint="eastAsia" w:ascii="宋体" w:hAnsi="宋体" w:eastAsia="宋体"/>
                <w:szCs w:val="21"/>
              </w:rPr>
            </w:pPr>
            <w:r>
              <w:rPr>
                <w:rFonts w:hint="eastAsia" w:ascii="宋体" w:hAnsi="宋体" w:eastAsia="宋体"/>
                <w:szCs w:val="21"/>
              </w:rPr>
              <w:t>实施方案较片面，进度安排、组织架构不合理，没有进度控制、风险控制管理、质量保障措施、安全管理措施、文档管理措施，得5</w:t>
            </w:r>
            <w:r>
              <w:rPr>
                <w:rFonts w:ascii="宋体" w:hAnsi="宋体" w:eastAsia="宋体"/>
                <w:szCs w:val="21"/>
              </w:rPr>
              <w:t>分；</w:t>
            </w:r>
          </w:p>
          <w:p w14:paraId="1318645B">
            <w:pPr>
              <w:widowControl/>
              <w:spacing w:line="360" w:lineRule="auto"/>
              <w:rPr>
                <w:rFonts w:hint="eastAsia" w:ascii="宋体" w:hAnsi="宋体" w:eastAsia="宋体"/>
                <w:szCs w:val="21"/>
              </w:rPr>
            </w:pPr>
            <w:r>
              <w:rPr>
                <w:rFonts w:hint="eastAsia" w:ascii="宋体" w:hAnsi="宋体" w:eastAsia="宋体"/>
                <w:szCs w:val="21"/>
              </w:rPr>
              <w:t>未提供实施方案或实施方案与本项目严重不符，本项得</w:t>
            </w:r>
            <w:r>
              <w:rPr>
                <w:rFonts w:ascii="宋体" w:hAnsi="宋体" w:eastAsia="宋体"/>
                <w:szCs w:val="21"/>
              </w:rPr>
              <w:t>0分。</w:t>
            </w:r>
          </w:p>
        </w:tc>
        <w:tc>
          <w:tcPr>
            <w:tcW w:w="993" w:type="dxa"/>
            <w:tcBorders>
              <w:tl2br w:val="nil"/>
              <w:tr2bl w:val="nil"/>
            </w:tcBorders>
            <w:shd w:val="clear" w:color="auto" w:fill="auto"/>
            <w:vAlign w:val="center"/>
          </w:tcPr>
          <w:p w14:paraId="29CEC536">
            <w:pPr>
              <w:widowControl/>
              <w:spacing w:line="360" w:lineRule="auto"/>
              <w:jc w:val="center"/>
              <w:rPr>
                <w:rFonts w:hint="eastAsia" w:ascii="宋体" w:hAnsi="宋体" w:eastAsia="宋体" w:cstheme="minorEastAsia"/>
                <w:color w:val="000000"/>
                <w:szCs w:val="21"/>
              </w:rPr>
            </w:pPr>
            <w:r>
              <w:rPr>
                <w:rFonts w:ascii="宋体" w:hAnsi="宋体" w:eastAsia="宋体" w:cstheme="minorEastAsia"/>
                <w:color w:val="000000"/>
                <w:szCs w:val="21"/>
              </w:rPr>
              <w:t>1</w:t>
            </w:r>
            <w:r>
              <w:rPr>
                <w:rFonts w:hint="eastAsia" w:ascii="宋体" w:hAnsi="宋体" w:eastAsia="宋体" w:cstheme="minorEastAsia"/>
                <w:color w:val="000000"/>
                <w:szCs w:val="21"/>
              </w:rPr>
              <w:t>5</w:t>
            </w:r>
          </w:p>
        </w:tc>
      </w:tr>
      <w:tr w14:paraId="2D7C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93" w:type="dxa"/>
            <w:gridSpan w:val="4"/>
            <w:tcBorders>
              <w:tl2br w:val="nil"/>
              <w:tr2bl w:val="nil"/>
            </w:tcBorders>
            <w:shd w:val="clear" w:color="auto" w:fill="auto"/>
            <w:vAlign w:val="center"/>
          </w:tcPr>
          <w:p w14:paraId="0021D885">
            <w:pPr>
              <w:widowControl/>
              <w:spacing w:line="360" w:lineRule="auto"/>
              <w:rPr>
                <w:rFonts w:hint="eastAsia" w:ascii="宋体" w:hAnsi="宋体" w:eastAsia="宋体" w:cstheme="minorEastAsia"/>
                <w:color w:val="000000"/>
                <w:szCs w:val="21"/>
              </w:rPr>
            </w:pPr>
            <w:r>
              <w:rPr>
                <w:rFonts w:hint="eastAsia" w:ascii="宋体" w:hAnsi="宋体" w:eastAsia="宋体" w:cstheme="minorEastAsia"/>
                <w:color w:val="000000"/>
                <w:szCs w:val="21"/>
              </w:rPr>
              <w:t>服务</w:t>
            </w:r>
          </w:p>
        </w:tc>
      </w:tr>
      <w:tr w14:paraId="2BA6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3" w:type="dxa"/>
            <w:tcBorders>
              <w:tl2br w:val="nil"/>
              <w:tr2bl w:val="nil"/>
            </w:tcBorders>
            <w:shd w:val="clear" w:color="auto" w:fill="auto"/>
            <w:vAlign w:val="center"/>
          </w:tcPr>
          <w:p w14:paraId="0DF906C9">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3.1</w:t>
            </w:r>
          </w:p>
        </w:tc>
        <w:tc>
          <w:tcPr>
            <w:tcW w:w="1426" w:type="dxa"/>
            <w:tcBorders>
              <w:tl2br w:val="nil"/>
              <w:tr2bl w:val="nil"/>
            </w:tcBorders>
            <w:shd w:val="clear" w:color="auto" w:fill="auto"/>
            <w:vAlign w:val="center"/>
          </w:tcPr>
          <w:p w14:paraId="2585F4CF">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 xml:space="preserve">售后服务方案 </w:t>
            </w:r>
          </w:p>
        </w:tc>
        <w:tc>
          <w:tcPr>
            <w:tcW w:w="6361" w:type="dxa"/>
            <w:tcBorders>
              <w:tl2br w:val="nil"/>
              <w:tr2bl w:val="nil"/>
            </w:tcBorders>
            <w:shd w:val="clear" w:color="auto" w:fill="auto"/>
            <w:vAlign w:val="center"/>
          </w:tcPr>
          <w:p w14:paraId="1F0D6DFC">
            <w:pPr>
              <w:widowControl/>
              <w:spacing w:line="360" w:lineRule="auto"/>
              <w:rPr>
                <w:rFonts w:hint="eastAsia" w:ascii="宋体" w:hAnsi="宋体" w:eastAsia="宋体"/>
                <w:szCs w:val="21"/>
              </w:rPr>
            </w:pPr>
            <w:r>
              <w:rPr>
                <w:rFonts w:hint="eastAsia" w:ascii="宋体" w:hAnsi="宋体" w:eastAsia="宋体"/>
                <w:szCs w:val="21"/>
              </w:rPr>
              <w:t>售后服务方案全面合理，服务流程及内容具体，响应时间迅速，服务人员齐备，得</w:t>
            </w:r>
            <w:r>
              <w:rPr>
                <w:rFonts w:ascii="宋体" w:hAnsi="宋体" w:eastAsia="宋体"/>
                <w:szCs w:val="21"/>
              </w:rPr>
              <w:t>1</w:t>
            </w:r>
            <w:r>
              <w:rPr>
                <w:rFonts w:hint="eastAsia" w:ascii="宋体" w:hAnsi="宋体" w:eastAsia="宋体"/>
                <w:szCs w:val="21"/>
              </w:rPr>
              <w:t>5分。</w:t>
            </w:r>
          </w:p>
          <w:p w14:paraId="61412CA5">
            <w:pPr>
              <w:widowControl/>
              <w:spacing w:line="360" w:lineRule="auto"/>
              <w:rPr>
                <w:rFonts w:hint="eastAsia" w:ascii="宋体" w:hAnsi="宋体" w:eastAsia="宋体"/>
                <w:szCs w:val="21"/>
              </w:rPr>
            </w:pPr>
            <w:r>
              <w:rPr>
                <w:rFonts w:hint="eastAsia" w:ascii="宋体" w:hAnsi="宋体" w:eastAsia="宋体"/>
                <w:szCs w:val="21"/>
              </w:rPr>
              <w:t>售后服务方案较全面，有基本服务流程及内容，响应时间较为迅速，服务人员匹配基本满足需求，得10分。</w:t>
            </w:r>
          </w:p>
          <w:p w14:paraId="1C5A9674">
            <w:pPr>
              <w:widowControl/>
              <w:spacing w:line="360" w:lineRule="auto"/>
              <w:rPr>
                <w:rFonts w:hint="eastAsia" w:ascii="宋体" w:hAnsi="宋体" w:eastAsia="宋体"/>
                <w:szCs w:val="21"/>
              </w:rPr>
            </w:pPr>
            <w:r>
              <w:rPr>
                <w:rFonts w:hint="eastAsia" w:ascii="宋体" w:hAnsi="宋体" w:eastAsia="宋体"/>
                <w:szCs w:val="21"/>
              </w:rPr>
              <w:t>售后服务方案较片面，服务流程及内容空洞或欠缺，响应时间缓慢，服务人员匹配欠缺，得5分。</w:t>
            </w:r>
          </w:p>
          <w:p w14:paraId="5A4A91D1">
            <w:pPr>
              <w:pStyle w:val="11"/>
              <w:ind w:left="0" w:firstLine="0" w:firstLineChars="0"/>
              <w:rPr>
                <w:rFonts w:hint="eastAsia" w:ascii="宋体" w:hAnsi="宋体" w:eastAsia="宋体"/>
                <w:sz w:val="21"/>
                <w:szCs w:val="21"/>
              </w:rPr>
            </w:pPr>
            <w:r>
              <w:rPr>
                <w:rFonts w:ascii="宋体" w:hAnsi="宋体" w:eastAsia="宋体"/>
                <w:sz w:val="21"/>
                <w:szCs w:val="21"/>
              </w:rPr>
              <w:t>未提供</w:t>
            </w:r>
            <w:r>
              <w:rPr>
                <w:rFonts w:hint="eastAsia" w:ascii="宋体" w:hAnsi="宋体" w:eastAsia="宋体"/>
                <w:sz w:val="21"/>
                <w:szCs w:val="21"/>
              </w:rPr>
              <w:t>售后服务</w:t>
            </w:r>
            <w:r>
              <w:rPr>
                <w:rFonts w:ascii="宋体" w:hAnsi="宋体" w:eastAsia="宋体"/>
                <w:sz w:val="21"/>
                <w:szCs w:val="21"/>
              </w:rPr>
              <w:t>方案或</w:t>
            </w:r>
            <w:r>
              <w:rPr>
                <w:rFonts w:hint="eastAsia" w:ascii="宋体" w:hAnsi="宋体" w:eastAsia="宋体"/>
                <w:sz w:val="21"/>
                <w:szCs w:val="21"/>
              </w:rPr>
              <w:t>售后服务</w:t>
            </w:r>
            <w:r>
              <w:rPr>
                <w:rFonts w:ascii="宋体" w:hAnsi="宋体" w:eastAsia="宋体"/>
                <w:sz w:val="21"/>
                <w:szCs w:val="21"/>
              </w:rPr>
              <w:t>方案与本项目严重不符，本项得0分。</w:t>
            </w:r>
          </w:p>
        </w:tc>
        <w:tc>
          <w:tcPr>
            <w:tcW w:w="993" w:type="dxa"/>
            <w:tcBorders>
              <w:tl2br w:val="nil"/>
              <w:tr2bl w:val="nil"/>
            </w:tcBorders>
            <w:shd w:val="clear" w:color="auto" w:fill="auto"/>
            <w:vAlign w:val="center"/>
          </w:tcPr>
          <w:p w14:paraId="79C8E92C">
            <w:pPr>
              <w:widowControl/>
              <w:spacing w:line="360" w:lineRule="auto"/>
              <w:jc w:val="center"/>
              <w:rPr>
                <w:rFonts w:hint="eastAsia" w:ascii="宋体" w:hAnsi="宋体" w:eastAsia="宋体" w:cstheme="minorEastAsia"/>
                <w:color w:val="000000"/>
                <w:szCs w:val="21"/>
              </w:rPr>
            </w:pPr>
            <w:r>
              <w:rPr>
                <w:rFonts w:ascii="宋体" w:hAnsi="宋体" w:eastAsia="宋体" w:cstheme="minorEastAsia"/>
                <w:color w:val="000000"/>
                <w:szCs w:val="21"/>
              </w:rPr>
              <w:t>1</w:t>
            </w:r>
            <w:r>
              <w:rPr>
                <w:rFonts w:hint="eastAsia" w:ascii="宋体" w:hAnsi="宋体" w:eastAsia="宋体" w:cstheme="minorEastAsia"/>
                <w:color w:val="000000"/>
                <w:szCs w:val="21"/>
              </w:rPr>
              <w:t>5</w:t>
            </w:r>
          </w:p>
        </w:tc>
      </w:tr>
      <w:tr w14:paraId="6568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3" w:type="dxa"/>
            <w:tcBorders>
              <w:tl2br w:val="nil"/>
              <w:tr2bl w:val="nil"/>
            </w:tcBorders>
            <w:shd w:val="clear" w:color="auto" w:fill="auto"/>
            <w:vAlign w:val="center"/>
          </w:tcPr>
          <w:p w14:paraId="210808E6">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3.</w:t>
            </w:r>
            <w:r>
              <w:rPr>
                <w:rFonts w:ascii="宋体" w:hAnsi="宋体" w:eastAsia="宋体" w:cstheme="minorEastAsia"/>
                <w:color w:val="000000"/>
                <w:szCs w:val="21"/>
              </w:rPr>
              <w:t>2</w:t>
            </w:r>
          </w:p>
        </w:tc>
        <w:tc>
          <w:tcPr>
            <w:tcW w:w="1426" w:type="dxa"/>
            <w:tcBorders>
              <w:tl2br w:val="nil"/>
              <w:tr2bl w:val="nil"/>
            </w:tcBorders>
            <w:shd w:val="clear" w:color="auto" w:fill="auto"/>
            <w:vAlign w:val="center"/>
          </w:tcPr>
          <w:p w14:paraId="4C4A13B4">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培训方案</w:t>
            </w:r>
          </w:p>
        </w:tc>
        <w:tc>
          <w:tcPr>
            <w:tcW w:w="6361" w:type="dxa"/>
            <w:tcBorders>
              <w:tl2br w:val="nil"/>
              <w:tr2bl w:val="nil"/>
            </w:tcBorders>
            <w:shd w:val="clear" w:color="auto" w:fill="auto"/>
            <w:vAlign w:val="center"/>
          </w:tcPr>
          <w:p w14:paraId="50E2CA6A">
            <w:pPr>
              <w:widowControl/>
              <w:spacing w:line="360" w:lineRule="auto"/>
              <w:rPr>
                <w:rFonts w:hint="eastAsia" w:ascii="宋体" w:hAnsi="宋体" w:eastAsia="宋体"/>
                <w:szCs w:val="21"/>
              </w:rPr>
            </w:pPr>
            <w:r>
              <w:rPr>
                <w:rFonts w:hint="eastAsia" w:ascii="宋体" w:hAnsi="宋体" w:eastAsia="宋体"/>
                <w:szCs w:val="21"/>
              </w:rPr>
              <w:t>供应商提供的培训方案全面合理有效，具有详细的培训计划、培训内容，能够较好满足采购人培训要求的得</w:t>
            </w:r>
            <w:r>
              <w:rPr>
                <w:rFonts w:ascii="宋体" w:hAnsi="宋体" w:eastAsia="宋体"/>
                <w:szCs w:val="21"/>
              </w:rPr>
              <w:t>10</w:t>
            </w:r>
            <w:r>
              <w:rPr>
                <w:rFonts w:hint="eastAsia" w:ascii="宋体" w:hAnsi="宋体" w:eastAsia="宋体"/>
                <w:szCs w:val="21"/>
              </w:rPr>
              <w:t>分。</w:t>
            </w:r>
          </w:p>
          <w:p w14:paraId="277C1F2C">
            <w:pPr>
              <w:widowControl/>
              <w:spacing w:line="360" w:lineRule="auto"/>
              <w:rPr>
                <w:rFonts w:hint="eastAsia" w:ascii="宋体" w:hAnsi="宋体" w:eastAsia="宋体"/>
                <w:szCs w:val="21"/>
              </w:rPr>
            </w:pPr>
            <w:r>
              <w:rPr>
                <w:rFonts w:hint="eastAsia" w:ascii="宋体" w:hAnsi="宋体" w:eastAsia="宋体"/>
                <w:szCs w:val="21"/>
              </w:rPr>
              <w:t>供应商提供的培训方案不够全面，有效性欠缺，培训计划、培训内容不够详细，基本满足采购人培训要求的得6分。</w:t>
            </w:r>
          </w:p>
          <w:p w14:paraId="5FC4AC94">
            <w:pPr>
              <w:widowControl/>
              <w:spacing w:line="360" w:lineRule="auto"/>
              <w:rPr>
                <w:rFonts w:hint="eastAsia" w:ascii="宋体" w:hAnsi="宋体" w:eastAsia="宋体"/>
                <w:szCs w:val="21"/>
              </w:rPr>
            </w:pPr>
            <w:r>
              <w:rPr>
                <w:rFonts w:hint="eastAsia" w:ascii="宋体" w:hAnsi="宋体" w:eastAsia="宋体"/>
                <w:szCs w:val="21"/>
              </w:rPr>
              <w:t>供应商提供的培训方案片面，不具有执行有效性，培训计划、培训内容不详细，无法满足采购人培训要求的得3分。</w:t>
            </w:r>
          </w:p>
          <w:p w14:paraId="171DA28E">
            <w:pPr>
              <w:pStyle w:val="11"/>
              <w:ind w:left="0" w:firstLine="0" w:firstLineChars="0"/>
              <w:rPr>
                <w:rFonts w:hint="eastAsia" w:ascii="宋体" w:hAnsi="宋体" w:eastAsia="宋体"/>
                <w:sz w:val="21"/>
                <w:szCs w:val="21"/>
              </w:rPr>
            </w:pPr>
            <w:r>
              <w:rPr>
                <w:rFonts w:ascii="宋体" w:hAnsi="宋体" w:eastAsia="宋体"/>
                <w:sz w:val="21"/>
                <w:szCs w:val="21"/>
              </w:rPr>
              <w:t>未提供</w:t>
            </w:r>
            <w:r>
              <w:rPr>
                <w:rFonts w:hint="eastAsia" w:ascii="宋体" w:hAnsi="宋体" w:eastAsia="宋体"/>
                <w:sz w:val="21"/>
                <w:szCs w:val="21"/>
              </w:rPr>
              <w:t>培训</w:t>
            </w:r>
            <w:r>
              <w:rPr>
                <w:rFonts w:ascii="宋体" w:hAnsi="宋体" w:eastAsia="宋体"/>
                <w:sz w:val="21"/>
                <w:szCs w:val="21"/>
              </w:rPr>
              <w:t>方案或</w:t>
            </w:r>
            <w:r>
              <w:rPr>
                <w:rFonts w:hint="eastAsia" w:ascii="宋体" w:hAnsi="宋体" w:eastAsia="宋体"/>
                <w:sz w:val="21"/>
                <w:szCs w:val="21"/>
              </w:rPr>
              <w:t>培训</w:t>
            </w:r>
            <w:r>
              <w:rPr>
                <w:rFonts w:ascii="宋体" w:hAnsi="宋体" w:eastAsia="宋体"/>
                <w:sz w:val="21"/>
                <w:szCs w:val="21"/>
              </w:rPr>
              <w:t>方案与本项目严重不符，本项得0分。</w:t>
            </w:r>
          </w:p>
        </w:tc>
        <w:tc>
          <w:tcPr>
            <w:tcW w:w="993" w:type="dxa"/>
            <w:tcBorders>
              <w:tl2br w:val="nil"/>
              <w:tr2bl w:val="nil"/>
            </w:tcBorders>
            <w:shd w:val="clear" w:color="auto" w:fill="auto"/>
            <w:vAlign w:val="center"/>
          </w:tcPr>
          <w:p w14:paraId="66F1CD91">
            <w:pPr>
              <w:widowControl/>
              <w:spacing w:line="360" w:lineRule="auto"/>
              <w:jc w:val="center"/>
              <w:rPr>
                <w:rFonts w:hint="eastAsia" w:ascii="宋体" w:hAnsi="宋体" w:eastAsia="宋体" w:cstheme="minorEastAsia"/>
                <w:color w:val="000000"/>
                <w:szCs w:val="21"/>
              </w:rPr>
            </w:pPr>
            <w:r>
              <w:rPr>
                <w:rFonts w:ascii="宋体" w:hAnsi="宋体" w:eastAsia="宋体" w:cstheme="minorEastAsia"/>
                <w:color w:val="000000"/>
                <w:szCs w:val="21"/>
              </w:rPr>
              <w:t>10</w:t>
            </w:r>
          </w:p>
        </w:tc>
      </w:tr>
      <w:tr w14:paraId="59BB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93" w:type="dxa"/>
            <w:gridSpan w:val="4"/>
            <w:tcBorders>
              <w:tl2br w:val="nil"/>
              <w:tr2bl w:val="nil"/>
            </w:tcBorders>
            <w:shd w:val="clear" w:color="auto" w:fill="auto"/>
            <w:vAlign w:val="center"/>
          </w:tcPr>
          <w:p w14:paraId="6770495E">
            <w:pPr>
              <w:widowControl/>
              <w:spacing w:line="360" w:lineRule="auto"/>
              <w:rPr>
                <w:rFonts w:hint="eastAsia" w:ascii="宋体" w:hAnsi="宋体" w:eastAsia="宋体" w:cstheme="minorEastAsia"/>
                <w:color w:val="000000"/>
                <w:szCs w:val="21"/>
              </w:rPr>
            </w:pPr>
            <w:r>
              <w:rPr>
                <w:rFonts w:hint="eastAsia" w:ascii="宋体" w:hAnsi="宋体" w:eastAsia="宋体" w:cstheme="minorEastAsia"/>
                <w:color w:val="000000"/>
                <w:szCs w:val="21"/>
              </w:rPr>
              <w:t>履约能力</w:t>
            </w:r>
          </w:p>
        </w:tc>
      </w:tr>
      <w:tr w14:paraId="362D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13" w:type="dxa"/>
            <w:tcBorders>
              <w:tl2br w:val="nil"/>
              <w:tr2bl w:val="nil"/>
            </w:tcBorders>
            <w:shd w:val="clear" w:color="auto" w:fill="auto"/>
            <w:vAlign w:val="center"/>
          </w:tcPr>
          <w:p w14:paraId="0BA88FDD">
            <w:pPr>
              <w:widowControl/>
              <w:spacing w:line="360" w:lineRule="auto"/>
              <w:jc w:val="center"/>
              <w:rPr>
                <w:rFonts w:hint="eastAsia" w:ascii="宋体" w:hAnsi="宋体" w:eastAsia="宋体" w:cstheme="minorEastAsia"/>
                <w:szCs w:val="21"/>
              </w:rPr>
            </w:pPr>
            <w:r>
              <w:rPr>
                <w:rFonts w:ascii="宋体" w:hAnsi="宋体" w:eastAsia="宋体" w:cstheme="minorEastAsia"/>
                <w:szCs w:val="21"/>
              </w:rPr>
              <w:t>4</w:t>
            </w:r>
          </w:p>
        </w:tc>
        <w:tc>
          <w:tcPr>
            <w:tcW w:w="1426" w:type="dxa"/>
            <w:tcBorders>
              <w:tl2br w:val="nil"/>
              <w:tr2bl w:val="nil"/>
            </w:tcBorders>
            <w:shd w:val="clear" w:color="auto" w:fill="auto"/>
            <w:vAlign w:val="center"/>
          </w:tcPr>
          <w:p w14:paraId="5CA3D22C">
            <w:pPr>
              <w:widowControl/>
              <w:spacing w:line="360" w:lineRule="auto"/>
              <w:jc w:val="center"/>
              <w:rPr>
                <w:rFonts w:hint="eastAsia" w:ascii="宋体" w:hAnsi="宋体" w:eastAsia="宋体" w:cstheme="minorEastAsia"/>
                <w:strike/>
                <w:szCs w:val="21"/>
              </w:rPr>
            </w:pPr>
            <w:r>
              <w:rPr>
                <w:rFonts w:ascii="宋体" w:hAnsi="宋体" w:eastAsia="宋体" w:cstheme="minorEastAsia"/>
                <w:szCs w:val="21"/>
              </w:rPr>
              <w:t>履约能力</w:t>
            </w:r>
          </w:p>
        </w:tc>
        <w:tc>
          <w:tcPr>
            <w:tcW w:w="6361" w:type="dxa"/>
            <w:tcBorders>
              <w:tl2br w:val="nil"/>
              <w:tr2bl w:val="nil"/>
            </w:tcBorders>
            <w:shd w:val="clear" w:color="auto" w:fill="auto"/>
            <w:vAlign w:val="center"/>
          </w:tcPr>
          <w:p w14:paraId="13C2C75E">
            <w:pPr>
              <w:widowControl/>
              <w:spacing w:line="360" w:lineRule="auto"/>
              <w:rPr>
                <w:rFonts w:hint="eastAsia" w:ascii="宋体" w:hAnsi="宋体" w:eastAsia="宋体"/>
                <w:szCs w:val="21"/>
              </w:rPr>
            </w:pPr>
            <w:r>
              <w:rPr>
                <w:rFonts w:hint="eastAsia" w:ascii="宋体" w:hAnsi="宋体" w:eastAsia="宋体" w:cs="Times New Roman"/>
                <w:szCs w:val="24"/>
              </w:rPr>
              <w:t>电子签名服务制造商提供有效期内国家密码管理局颁发的《电子认证服务使用密码许可证》、</w:t>
            </w:r>
            <w:r>
              <w:rPr>
                <w:rFonts w:hint="eastAsia" w:ascii="宋体" w:hAnsi="宋体" w:eastAsia="宋体" w:cstheme="minorEastAsia"/>
                <w:color w:val="000000"/>
                <w:szCs w:val="21"/>
              </w:rPr>
              <w:t>有效期内</w:t>
            </w:r>
            <w:r>
              <w:rPr>
                <w:rFonts w:ascii="宋体" w:hAnsi="宋体" w:eastAsia="宋体" w:cstheme="minorEastAsia"/>
                <w:color w:val="000000"/>
                <w:szCs w:val="21"/>
              </w:rPr>
              <w:t>ISO27001信息安全管理体系认证证书、</w:t>
            </w:r>
            <w:r>
              <w:rPr>
                <w:rFonts w:ascii="宋体" w:hAnsi="宋体" w:eastAsia="宋体" w:cs="宋体"/>
                <w:szCs w:val="21"/>
              </w:rPr>
              <w:t>ISO20000信息技术服务管理体系认证证书</w:t>
            </w:r>
            <w:r>
              <w:rPr>
                <w:rFonts w:ascii="宋体" w:hAnsi="宋体" w:eastAsia="宋体" w:cstheme="minorEastAsia"/>
                <w:color w:val="000000"/>
                <w:szCs w:val="21"/>
              </w:rPr>
              <w:t>，</w:t>
            </w:r>
            <w:r>
              <w:rPr>
                <w:rFonts w:hint="eastAsia" w:ascii="宋体" w:hAnsi="宋体" w:eastAsia="宋体" w:cstheme="minorEastAsia"/>
                <w:color w:val="000000"/>
                <w:szCs w:val="21"/>
              </w:rPr>
              <w:t>提供证书复印件或官方网站相关证明截图，</w:t>
            </w:r>
            <w:r>
              <w:rPr>
                <w:rFonts w:ascii="宋体" w:hAnsi="宋体" w:eastAsia="宋体" w:cstheme="minorEastAsia"/>
                <w:color w:val="000000"/>
                <w:szCs w:val="21"/>
              </w:rPr>
              <w:t>每提供1个得5分，最高得1</w:t>
            </w:r>
            <w:r>
              <w:rPr>
                <w:rFonts w:hint="eastAsia" w:ascii="宋体" w:hAnsi="宋体" w:eastAsia="宋体" w:cstheme="minorEastAsia"/>
                <w:color w:val="000000"/>
                <w:szCs w:val="21"/>
              </w:rPr>
              <w:t>5</w:t>
            </w:r>
            <w:r>
              <w:rPr>
                <w:rFonts w:ascii="宋体" w:hAnsi="宋体" w:eastAsia="宋体" w:cstheme="minorEastAsia"/>
                <w:color w:val="000000"/>
                <w:szCs w:val="21"/>
              </w:rPr>
              <w:t>分。</w:t>
            </w:r>
          </w:p>
        </w:tc>
        <w:tc>
          <w:tcPr>
            <w:tcW w:w="993" w:type="dxa"/>
            <w:tcBorders>
              <w:tl2br w:val="nil"/>
              <w:tr2bl w:val="nil"/>
            </w:tcBorders>
            <w:shd w:val="clear" w:color="auto" w:fill="auto"/>
            <w:vAlign w:val="center"/>
          </w:tcPr>
          <w:p w14:paraId="32670B69">
            <w:pPr>
              <w:spacing w:line="360" w:lineRule="auto"/>
              <w:jc w:val="center"/>
              <w:rPr>
                <w:rFonts w:hint="eastAsia" w:ascii="宋体" w:hAnsi="宋体" w:eastAsia="宋体" w:cstheme="minorEastAsia"/>
                <w:bCs/>
                <w:szCs w:val="21"/>
              </w:rPr>
            </w:pPr>
            <w:r>
              <w:rPr>
                <w:rFonts w:ascii="宋体" w:hAnsi="宋体" w:eastAsia="宋体" w:cstheme="minorEastAsia"/>
                <w:bCs/>
                <w:szCs w:val="21"/>
              </w:rPr>
              <w:t>1</w:t>
            </w:r>
            <w:r>
              <w:rPr>
                <w:rFonts w:hint="eastAsia" w:ascii="宋体" w:hAnsi="宋体" w:eastAsia="宋体" w:cstheme="minorEastAsia"/>
                <w:bCs/>
                <w:szCs w:val="21"/>
              </w:rPr>
              <w:t>5</w:t>
            </w:r>
          </w:p>
        </w:tc>
      </w:tr>
      <w:tr w14:paraId="7481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00" w:type="dxa"/>
            <w:gridSpan w:val="3"/>
            <w:tcBorders>
              <w:tl2br w:val="nil"/>
              <w:tr2bl w:val="nil"/>
            </w:tcBorders>
            <w:shd w:val="clear" w:color="auto" w:fill="auto"/>
            <w:vAlign w:val="center"/>
          </w:tcPr>
          <w:p w14:paraId="0A88FDF3">
            <w:pPr>
              <w:widowControl/>
              <w:spacing w:line="360" w:lineRule="auto"/>
              <w:rPr>
                <w:rFonts w:hint="eastAsia" w:ascii="宋体" w:hAnsi="宋体" w:eastAsia="宋体" w:cstheme="minorEastAsia"/>
                <w:szCs w:val="21"/>
              </w:rPr>
            </w:pPr>
            <w:r>
              <w:rPr>
                <w:rFonts w:hint="eastAsia" w:ascii="宋体" w:hAnsi="宋体" w:eastAsia="宋体" w:cstheme="minorEastAsia"/>
                <w:szCs w:val="21"/>
              </w:rPr>
              <w:t>合计：</w:t>
            </w:r>
          </w:p>
        </w:tc>
        <w:tc>
          <w:tcPr>
            <w:tcW w:w="993" w:type="dxa"/>
            <w:tcBorders>
              <w:tl2br w:val="nil"/>
              <w:tr2bl w:val="nil"/>
            </w:tcBorders>
            <w:shd w:val="clear" w:color="auto" w:fill="auto"/>
            <w:vAlign w:val="center"/>
          </w:tcPr>
          <w:p w14:paraId="448319C9">
            <w:pPr>
              <w:widowControl/>
              <w:spacing w:line="360" w:lineRule="auto"/>
              <w:jc w:val="center"/>
              <w:rPr>
                <w:rFonts w:hint="eastAsia" w:ascii="宋体" w:hAnsi="宋体" w:eastAsia="宋体" w:cstheme="minorEastAsia"/>
                <w:color w:val="000000"/>
                <w:szCs w:val="21"/>
              </w:rPr>
            </w:pPr>
            <w:r>
              <w:rPr>
                <w:rFonts w:hint="eastAsia" w:ascii="宋体" w:hAnsi="宋体" w:eastAsia="宋体" w:cstheme="minorEastAsia"/>
                <w:color w:val="000000"/>
                <w:szCs w:val="21"/>
              </w:rPr>
              <w:t>100</w:t>
            </w:r>
          </w:p>
        </w:tc>
      </w:tr>
    </w:tbl>
    <w:p w14:paraId="3201DB94">
      <w:pPr>
        <w:adjustRightInd w:val="0"/>
        <w:snapToGrid w:val="0"/>
        <w:spacing w:line="360" w:lineRule="auto"/>
        <w:ind w:firstLine="482"/>
        <w:jc w:val="left"/>
        <w:rPr>
          <w:rFonts w:asciiTheme="minorEastAsia" w:hAnsiTheme="minorEastAsia" w:cstheme="minorEastAsia"/>
          <w:b/>
          <w:sz w:val="24"/>
          <w:szCs w:val="24"/>
        </w:rPr>
      </w:pPr>
      <w:r>
        <w:rPr>
          <w:rFonts w:hint="eastAsia" w:asciiTheme="minorEastAsia" w:hAnsiTheme="minorEastAsia" w:cstheme="minorEastAsia"/>
          <w:b/>
          <w:sz w:val="24"/>
          <w:szCs w:val="24"/>
        </w:rPr>
        <w:t>注：倡导公平竞争，反对低于成本恶意竞争。投标人应按照市场规律，合理报价。磋商小组认为供应商的报价明显低于其他通过符合性审查供应商的报价，有可能影响项目质量或者不能诚信履约的，应当要求其在投标现场合理的时间内提供书面说明，必要时提交相关证明材料；供应商不能证明其报价合理性的，磋商小组应当将其报价部分作不得分处理。</w:t>
      </w:r>
    </w:p>
    <w:p w14:paraId="0C51957C">
      <w:pPr>
        <w:jc w:val="center"/>
        <w:rPr>
          <w:rFonts w:ascii="仿宋" w:hAnsi="仿宋" w:eastAsia="仿宋"/>
          <w:b/>
          <w:color w:val="000000"/>
          <w:sz w:val="44"/>
        </w:rPr>
      </w:pPr>
    </w:p>
    <w:p w14:paraId="095ADAF7">
      <w:pPr>
        <w:pStyle w:val="25"/>
      </w:pPr>
    </w:p>
    <w:p w14:paraId="6CF77A8C">
      <w:pPr>
        <w:pStyle w:val="25"/>
      </w:pPr>
    </w:p>
    <w:p w14:paraId="47F0D441">
      <w:pPr>
        <w:pStyle w:val="25"/>
      </w:pPr>
    </w:p>
    <w:p w14:paraId="404F0EB6">
      <w:pPr>
        <w:pStyle w:val="25"/>
      </w:pPr>
    </w:p>
    <w:p w14:paraId="3A0ED1F4">
      <w:pPr>
        <w:pStyle w:val="25"/>
      </w:pPr>
    </w:p>
    <w:p w14:paraId="45F4A469">
      <w:pPr>
        <w:pStyle w:val="25"/>
      </w:pPr>
    </w:p>
    <w:p w14:paraId="22E410FE">
      <w:pPr>
        <w:pStyle w:val="25"/>
      </w:pPr>
    </w:p>
    <w:p w14:paraId="3F2A07D9">
      <w:pPr>
        <w:pStyle w:val="25"/>
      </w:pPr>
    </w:p>
    <w:p w14:paraId="0CC653EC">
      <w:pPr>
        <w:pStyle w:val="25"/>
      </w:pPr>
    </w:p>
    <w:p w14:paraId="7D740845">
      <w:pPr>
        <w:pStyle w:val="25"/>
      </w:pPr>
    </w:p>
    <w:p w14:paraId="0A4799C9">
      <w:pPr>
        <w:pStyle w:val="25"/>
      </w:pPr>
    </w:p>
    <w:p w14:paraId="68B5F3F0">
      <w:pPr>
        <w:pStyle w:val="25"/>
        <w:rPr>
          <w:rFonts w:hint="eastAsia"/>
        </w:rPr>
      </w:pPr>
    </w:p>
    <w:p w14:paraId="16071AD0">
      <w:pPr>
        <w:pStyle w:val="25"/>
      </w:pPr>
    </w:p>
    <w:p w14:paraId="6D33FA6C">
      <w:pPr>
        <w:pStyle w:val="25"/>
      </w:pPr>
    </w:p>
    <w:p w14:paraId="6BBA06F3">
      <w:pPr>
        <w:pStyle w:val="25"/>
      </w:pPr>
    </w:p>
    <w:p w14:paraId="37A7744B">
      <w:pPr>
        <w:pStyle w:val="25"/>
      </w:pPr>
    </w:p>
    <w:p w14:paraId="63CEBE61">
      <w:pPr>
        <w:pStyle w:val="25"/>
      </w:pPr>
    </w:p>
    <w:p w14:paraId="4A5BA740">
      <w:pPr>
        <w:pStyle w:val="25"/>
      </w:pPr>
    </w:p>
    <w:p w14:paraId="6D720230">
      <w:pPr>
        <w:pStyle w:val="25"/>
      </w:pPr>
    </w:p>
    <w:p w14:paraId="05D645C0">
      <w:pPr>
        <w:pStyle w:val="25"/>
      </w:pPr>
    </w:p>
    <w:p w14:paraId="6132D149">
      <w:pPr>
        <w:pStyle w:val="25"/>
        <w:rPr>
          <w:rFonts w:hint="eastAsia"/>
        </w:rPr>
      </w:pPr>
    </w:p>
    <w:p w14:paraId="30E06BEC">
      <w:pPr>
        <w:jc w:val="center"/>
        <w:rPr>
          <w:rFonts w:hint="eastAsia" w:ascii="仿宋" w:hAnsi="仿宋" w:eastAsia="仿宋"/>
          <w:b/>
          <w:color w:val="000000"/>
          <w:sz w:val="44"/>
        </w:rPr>
      </w:pPr>
    </w:p>
    <w:p w14:paraId="2C990737">
      <w:pPr>
        <w:jc w:val="center"/>
        <w:rPr>
          <w:rFonts w:hint="eastAsia" w:ascii="仿宋" w:hAnsi="仿宋" w:eastAsia="仿宋"/>
          <w:b/>
          <w:color w:val="000000"/>
          <w:sz w:val="44"/>
        </w:rPr>
      </w:pPr>
    </w:p>
    <w:p w14:paraId="05B69197">
      <w:pPr>
        <w:jc w:val="center"/>
        <w:rPr>
          <w:rFonts w:hint="eastAsia" w:ascii="仿宋" w:hAnsi="仿宋" w:eastAsia="仿宋"/>
          <w:b/>
          <w:color w:val="000000"/>
          <w:sz w:val="44"/>
        </w:rPr>
      </w:pPr>
    </w:p>
    <w:p w14:paraId="47FC01B5">
      <w:pPr>
        <w:rPr>
          <w:rFonts w:hint="eastAsia" w:ascii="仿宋" w:hAnsi="仿宋" w:eastAsia="仿宋"/>
          <w:b/>
          <w:color w:val="000000"/>
          <w:sz w:val="44"/>
        </w:rPr>
      </w:pPr>
    </w:p>
    <w:p w14:paraId="29DA4AE8">
      <w:pPr>
        <w:pStyle w:val="42"/>
        <w:spacing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响应文件格式</w:t>
      </w:r>
    </w:p>
    <w:p w14:paraId="36786B11">
      <w:pPr>
        <w:adjustRightInd w:val="0"/>
        <w:snapToGrid w:val="0"/>
        <w:spacing w:line="360" w:lineRule="auto"/>
        <w:ind w:firstLine="482"/>
        <w:jc w:val="left"/>
        <w:rPr>
          <w:rFonts w:hint="eastAsia" w:asciiTheme="minorEastAsia" w:hAnsiTheme="minorEastAsia" w:cstheme="minorEastAsia"/>
          <w:b/>
          <w:sz w:val="24"/>
          <w:szCs w:val="24"/>
        </w:rPr>
      </w:pPr>
      <w:bookmarkStart w:id="9" w:name="_Hlt26671244"/>
      <w:bookmarkEnd w:id="9"/>
      <w:bookmarkStart w:id="10" w:name="_Hlt26955039"/>
      <w:bookmarkEnd w:id="10"/>
      <w:r>
        <w:rPr>
          <w:rFonts w:hint="eastAsia" w:asciiTheme="minorEastAsia" w:hAnsiTheme="minorEastAsia" w:cstheme="minorEastAsia"/>
          <w:b/>
          <w:sz w:val="24"/>
          <w:szCs w:val="24"/>
        </w:rPr>
        <w:t>1.供应商在制作电子响应文件时，如部分材料无法在响应文件制作工具中制作或上传，可将材料制作后上传在资审文件、技术标文件、经济标文件相对应的其它材料中。</w:t>
      </w:r>
    </w:p>
    <w:p w14:paraId="44B03B46">
      <w:pPr>
        <w:adjustRightInd w:val="0"/>
        <w:snapToGrid w:val="0"/>
        <w:spacing w:line="360" w:lineRule="auto"/>
        <w:ind w:firstLine="482"/>
        <w:jc w:val="left"/>
        <w:rPr>
          <w:rFonts w:hint="eastAsia" w:asciiTheme="minorEastAsia" w:hAnsiTheme="minorEastAsia" w:cstheme="minorEastAsia"/>
          <w:b/>
          <w:sz w:val="24"/>
          <w:szCs w:val="24"/>
        </w:rPr>
      </w:pPr>
      <w:r>
        <w:rPr>
          <w:rFonts w:hint="eastAsia" w:asciiTheme="minorEastAsia" w:hAnsiTheme="minorEastAsia" w:cstheme="minorEastAsia"/>
          <w:b/>
          <w:sz w:val="24"/>
          <w:szCs w:val="24"/>
        </w:rPr>
        <w:t>2.响应文件由资审文件、技术标文件、经济标文件三部分组成。请供应商根据本采购文件的要求在以上三部分中分别上传响应的材料,响应材料须为扫描件加盖电子签章或复印件加盖红色实物公章。响应文件制作软件中的文件格式与采购文件中规定的不一致时，以采购文件要求的为准。响应文件格式中要求签字的不可打印填写，否则视为无效投标。</w:t>
      </w:r>
    </w:p>
    <w:p w14:paraId="37DECCF0">
      <w:pPr>
        <w:adjustRightInd w:val="0"/>
        <w:snapToGrid w:val="0"/>
        <w:spacing w:line="360" w:lineRule="auto"/>
        <w:rPr>
          <w:rFonts w:hint="eastAsia" w:asciiTheme="minorEastAsia" w:hAnsiTheme="minorEastAsia" w:cstheme="minorEastAsia"/>
          <w:b/>
          <w:bCs/>
          <w:kern w:val="0"/>
          <w:sz w:val="24"/>
          <w:szCs w:val="24"/>
          <w:lang w:val="zh-CN"/>
        </w:rPr>
      </w:pPr>
      <w:r>
        <w:rPr>
          <w:rFonts w:hint="eastAsia" w:asciiTheme="minorEastAsia" w:hAnsiTheme="minorEastAsia" w:cstheme="minorEastAsia"/>
          <w:b/>
          <w:bCs/>
          <w:kern w:val="0"/>
          <w:sz w:val="24"/>
          <w:szCs w:val="24"/>
          <w:lang w:val="zh-CN"/>
        </w:rPr>
        <w:t>一、资审</w:t>
      </w:r>
      <w:r>
        <w:rPr>
          <w:rFonts w:hint="eastAsia" w:asciiTheme="minorEastAsia" w:hAnsiTheme="minorEastAsia" w:cstheme="minorEastAsia"/>
          <w:b/>
          <w:bCs/>
          <w:kern w:val="0"/>
          <w:sz w:val="24"/>
          <w:szCs w:val="24"/>
        </w:rPr>
        <w:t>文件</w:t>
      </w:r>
      <w:r>
        <w:rPr>
          <w:rFonts w:hint="eastAsia" w:asciiTheme="minorEastAsia" w:hAnsiTheme="minorEastAsia" w:cstheme="minorEastAsia"/>
          <w:b/>
          <w:bCs/>
          <w:kern w:val="0"/>
          <w:sz w:val="24"/>
          <w:szCs w:val="24"/>
          <w:lang w:val="zh-CN"/>
        </w:rPr>
        <w:t>（不能出现技术标、</w:t>
      </w:r>
      <w:r>
        <w:rPr>
          <w:rFonts w:hint="eastAsia" w:asciiTheme="minorEastAsia" w:hAnsiTheme="minorEastAsia" w:cstheme="minorEastAsia"/>
          <w:b/>
          <w:bCs/>
          <w:kern w:val="0"/>
          <w:sz w:val="24"/>
          <w:szCs w:val="24"/>
        </w:rPr>
        <w:t>经济</w:t>
      </w:r>
      <w:r>
        <w:rPr>
          <w:rFonts w:hint="eastAsia" w:asciiTheme="minorEastAsia" w:hAnsiTheme="minorEastAsia" w:cstheme="minorEastAsia"/>
          <w:b/>
          <w:bCs/>
          <w:kern w:val="0"/>
          <w:sz w:val="24"/>
          <w:szCs w:val="24"/>
          <w:lang w:val="zh-CN"/>
        </w:rPr>
        <w:t>标，</w:t>
      </w:r>
      <w:r>
        <w:rPr>
          <w:rFonts w:hint="eastAsia" w:asciiTheme="minorEastAsia" w:hAnsiTheme="minorEastAsia" w:cstheme="minorEastAsia"/>
          <w:b/>
          <w:bCs/>
          <w:kern w:val="0"/>
          <w:sz w:val="24"/>
          <w:szCs w:val="24"/>
        </w:rPr>
        <w:t>上传至资审文件部分</w:t>
      </w:r>
      <w:r>
        <w:rPr>
          <w:rFonts w:hint="eastAsia" w:asciiTheme="minorEastAsia" w:hAnsiTheme="minorEastAsia" w:cstheme="minorEastAsia"/>
          <w:b/>
          <w:bCs/>
          <w:kern w:val="0"/>
          <w:sz w:val="24"/>
          <w:szCs w:val="24"/>
          <w:lang w:val="zh-CN"/>
        </w:rPr>
        <w:t>）</w:t>
      </w:r>
    </w:p>
    <w:p w14:paraId="7968EB3A">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文件1  投标人符合《政府采购法》第二十二条规定条件的声明函，格式见“一、投标人符合《政府采购法》第二十二条规定条件的声明函”。</w:t>
      </w:r>
    </w:p>
    <w:p w14:paraId="4914FA52">
      <w:pPr>
        <w:spacing w:line="360" w:lineRule="auto"/>
        <w:ind w:firstLine="480" w:firstLineChars="200"/>
        <w:rPr>
          <w:rFonts w:hint="eastAsia" w:asciiTheme="minorEastAsia" w:hAnsiTheme="minorEastAsia" w:cstheme="minorEastAsia"/>
          <w:bCs/>
          <w:kern w:val="0"/>
          <w:sz w:val="24"/>
          <w:szCs w:val="24"/>
        </w:rPr>
      </w:pPr>
      <w:r>
        <w:rPr>
          <w:rFonts w:hint="eastAsia" w:asciiTheme="minorEastAsia" w:hAnsiTheme="minorEastAsia" w:cstheme="minorEastAsia"/>
          <w:bCs/>
          <w:sz w:val="24"/>
          <w:szCs w:val="24"/>
        </w:rPr>
        <w:t xml:space="preserve">文件2  </w:t>
      </w:r>
      <w:r>
        <w:rPr>
          <w:rFonts w:hint="eastAsia" w:asciiTheme="minorEastAsia" w:hAnsiTheme="minorEastAsia" w:cstheme="minorEastAsia"/>
          <w:bCs/>
          <w:kern w:val="0"/>
          <w:sz w:val="24"/>
          <w:szCs w:val="24"/>
        </w:rPr>
        <w:t>企业法定代表人或经营者授权书，授权书格式见“二、法定代表人或经营者授权书格式”。后附授权委托人（即代理人）身份证复印件（加盖红色实物公章）或扫描件加盖电子签章。</w:t>
      </w:r>
    </w:p>
    <w:p w14:paraId="44D3E525">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注：如为法定代表人或经营者或自然人本人投标无需提供授权委托书，但需提供本人身份证复印件（加盖红色实物公章）或扫描件加盖电子签章件。</w:t>
      </w:r>
    </w:p>
    <w:p w14:paraId="100A8F9D">
      <w:pPr>
        <w:snapToGrid w:val="0"/>
        <w:spacing w:line="360" w:lineRule="auto"/>
        <w:ind w:firstLine="482"/>
        <w:rPr>
          <w:rFonts w:hint="eastAsia" w:asciiTheme="minorEastAsia" w:hAnsiTheme="minorEastAsia" w:cstheme="minorEastAsia"/>
          <w:bCs/>
          <w:kern w:val="0"/>
          <w:sz w:val="24"/>
          <w:szCs w:val="24"/>
        </w:rPr>
      </w:pPr>
      <w:r>
        <w:rPr>
          <w:rFonts w:hint="eastAsia" w:asciiTheme="minorEastAsia" w:hAnsiTheme="minorEastAsia" w:cstheme="minorEastAsia"/>
          <w:bCs/>
          <w:sz w:val="24"/>
          <w:szCs w:val="24"/>
        </w:rPr>
        <w:t xml:space="preserve">文件3  </w:t>
      </w:r>
      <w:r>
        <w:rPr>
          <w:rFonts w:hint="eastAsia" w:asciiTheme="minorEastAsia" w:hAnsiTheme="minorEastAsia" w:cstheme="minorEastAsia"/>
          <w:bCs/>
          <w:kern w:val="0"/>
          <w:sz w:val="24"/>
          <w:szCs w:val="24"/>
        </w:rPr>
        <w:t xml:space="preserve"> 营业执照复印件（加盖红色实物公章）或扫描件加盖电子签章；（如为自然人投标无需提供营业执照）</w:t>
      </w:r>
      <w:r>
        <w:rPr>
          <w:rFonts w:hint="eastAsia" w:asciiTheme="minorEastAsia" w:hAnsiTheme="minorEastAsia" w:cstheme="minorEastAsia"/>
          <w:sz w:val="24"/>
          <w:szCs w:val="24"/>
        </w:rPr>
        <w:t>。</w:t>
      </w:r>
    </w:p>
    <w:p w14:paraId="00344558">
      <w:pPr>
        <w:snapToGrid w:val="0"/>
        <w:spacing w:line="360" w:lineRule="auto"/>
        <w:ind w:firstLine="482"/>
        <w:rPr>
          <w:rFonts w:hint="eastAsia" w:asciiTheme="minorEastAsia" w:hAnsiTheme="minorEastAsia" w:cstheme="minorEastAsia"/>
          <w:bCs/>
          <w:kern w:val="0"/>
          <w:sz w:val="24"/>
          <w:szCs w:val="24"/>
        </w:rPr>
      </w:pPr>
      <w:r>
        <w:rPr>
          <w:rFonts w:hint="eastAsia" w:asciiTheme="minorEastAsia" w:hAnsiTheme="minorEastAsia" w:cstheme="minorEastAsia"/>
          <w:bCs/>
          <w:sz w:val="24"/>
          <w:szCs w:val="24"/>
        </w:rPr>
        <w:t xml:space="preserve">文件4   </w:t>
      </w:r>
      <w:r>
        <w:rPr>
          <w:rFonts w:hint="eastAsia" w:asciiTheme="minorEastAsia" w:hAnsiTheme="minorEastAsia" w:cstheme="minorEastAsia"/>
          <w:sz w:val="24"/>
          <w:szCs w:val="24"/>
        </w:rPr>
        <w:t>投标函，格式见“三、投标函格式”。</w:t>
      </w:r>
    </w:p>
    <w:p w14:paraId="7054E322">
      <w:pPr>
        <w:snapToGrid w:val="0"/>
        <w:spacing w:before="50" w:after="50" w:line="360" w:lineRule="auto"/>
        <w:rPr>
          <w:rFonts w:hint="eastAsia" w:asciiTheme="minorEastAsia" w:hAnsiTheme="minorEastAsia" w:cstheme="minorEastAsia"/>
          <w:b/>
          <w:bCs/>
          <w:kern w:val="0"/>
          <w:sz w:val="24"/>
          <w:szCs w:val="24"/>
          <w:lang w:val="zh-CN"/>
        </w:rPr>
      </w:pPr>
      <w:r>
        <w:rPr>
          <w:rFonts w:hint="eastAsia" w:asciiTheme="minorEastAsia" w:hAnsiTheme="minorEastAsia" w:cstheme="minorEastAsia"/>
          <w:b/>
          <w:bCs/>
          <w:kern w:val="0"/>
          <w:sz w:val="24"/>
          <w:szCs w:val="24"/>
        </w:rPr>
        <w:t>二、</w:t>
      </w:r>
      <w:r>
        <w:rPr>
          <w:rFonts w:hint="eastAsia" w:asciiTheme="minorEastAsia" w:hAnsiTheme="minorEastAsia" w:cstheme="minorEastAsia"/>
          <w:b/>
          <w:bCs/>
          <w:kern w:val="0"/>
          <w:sz w:val="24"/>
          <w:szCs w:val="24"/>
          <w:lang w:val="zh-CN"/>
        </w:rPr>
        <w:t>技术标（不能出现</w:t>
      </w:r>
      <w:r>
        <w:rPr>
          <w:rFonts w:hint="eastAsia" w:asciiTheme="minorEastAsia" w:hAnsiTheme="minorEastAsia" w:cstheme="minorEastAsia"/>
          <w:b/>
          <w:bCs/>
          <w:kern w:val="0"/>
          <w:sz w:val="24"/>
          <w:szCs w:val="24"/>
        </w:rPr>
        <w:t>经济</w:t>
      </w:r>
      <w:r>
        <w:rPr>
          <w:rFonts w:hint="eastAsia" w:asciiTheme="minorEastAsia" w:hAnsiTheme="minorEastAsia" w:cstheme="minorEastAsia"/>
          <w:b/>
          <w:bCs/>
          <w:kern w:val="0"/>
          <w:sz w:val="24"/>
          <w:szCs w:val="24"/>
          <w:lang w:val="zh-CN"/>
        </w:rPr>
        <w:t>标，</w:t>
      </w:r>
      <w:r>
        <w:rPr>
          <w:rFonts w:hint="eastAsia" w:asciiTheme="minorEastAsia" w:hAnsiTheme="minorEastAsia" w:cstheme="minorEastAsia"/>
          <w:b/>
          <w:bCs/>
          <w:kern w:val="0"/>
          <w:sz w:val="24"/>
          <w:szCs w:val="24"/>
        </w:rPr>
        <w:t>上传至技术标--方案部分</w:t>
      </w:r>
      <w:r>
        <w:rPr>
          <w:rFonts w:hint="eastAsia" w:asciiTheme="minorEastAsia" w:hAnsiTheme="minorEastAsia" w:cstheme="minorEastAsia"/>
          <w:b/>
          <w:bCs/>
          <w:kern w:val="0"/>
          <w:sz w:val="24"/>
          <w:szCs w:val="24"/>
          <w:lang w:val="zh-CN"/>
        </w:rPr>
        <w:t>）</w:t>
      </w:r>
    </w:p>
    <w:p w14:paraId="039A88F7">
      <w:pPr>
        <w:adjustRightInd w:val="0"/>
        <w:snapToGrid w:val="0"/>
        <w:spacing w:line="360" w:lineRule="auto"/>
        <w:ind w:firstLine="480" w:firstLineChars="200"/>
        <w:jc w:val="left"/>
        <w:rPr>
          <w:rFonts w:hint="eastAsia" w:asciiTheme="minorEastAsia" w:hAnsiTheme="minorEastAsia" w:cstheme="minorEastAsia"/>
          <w:sz w:val="24"/>
          <w:szCs w:val="24"/>
          <w:lang w:val="zh-CN"/>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.评分标准中须提供的相关得分佐证材料。</w:t>
      </w:r>
    </w:p>
    <w:p w14:paraId="5A852619">
      <w:pPr>
        <w:adjustRightInd w:val="0"/>
        <w:snapToGrid w:val="0"/>
        <w:spacing w:line="360" w:lineRule="auto"/>
        <w:ind w:firstLine="480" w:firstLineChars="200"/>
        <w:jc w:val="left"/>
        <w:rPr>
          <w:rFonts w:hint="eastAsia" w:asciiTheme="minorEastAsia" w:hAnsiTheme="minorEastAsia" w:cstheme="minorEastAsia"/>
          <w:sz w:val="24"/>
          <w:szCs w:val="24"/>
          <w:lang w:val="zh-CN"/>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.投标人认为需要提交的其他技术材料。</w:t>
      </w:r>
    </w:p>
    <w:p w14:paraId="41137A07">
      <w:pPr>
        <w:adjustRightInd w:val="0"/>
        <w:snapToGrid w:val="0"/>
        <w:spacing w:line="360" w:lineRule="auto"/>
        <w:rPr>
          <w:rFonts w:hint="eastAsia" w:asciiTheme="minorEastAsia" w:hAnsiTheme="minorEastAsia" w:cstheme="minorEastAsia"/>
          <w:b/>
          <w:bCs/>
          <w:kern w:val="0"/>
          <w:sz w:val="24"/>
          <w:szCs w:val="24"/>
          <w:lang w:val="zh-CN"/>
        </w:rPr>
      </w:pPr>
      <w:r>
        <w:rPr>
          <w:rFonts w:hint="eastAsia" w:asciiTheme="minorEastAsia" w:hAnsiTheme="minorEastAsia" w:cstheme="minorEastAsia"/>
          <w:b/>
          <w:bCs/>
          <w:kern w:val="0"/>
          <w:sz w:val="24"/>
          <w:szCs w:val="24"/>
          <w:lang w:val="zh-CN"/>
        </w:rPr>
        <w:t>三、</w:t>
      </w:r>
      <w:r>
        <w:rPr>
          <w:rFonts w:hint="eastAsia" w:asciiTheme="minorEastAsia" w:hAnsiTheme="minorEastAsia" w:cstheme="minorEastAsia"/>
          <w:b/>
          <w:bCs/>
          <w:kern w:val="0"/>
          <w:sz w:val="24"/>
          <w:szCs w:val="24"/>
        </w:rPr>
        <w:t>经济</w:t>
      </w:r>
      <w:r>
        <w:rPr>
          <w:rFonts w:hint="eastAsia" w:asciiTheme="minorEastAsia" w:hAnsiTheme="minorEastAsia" w:cstheme="minorEastAsia"/>
          <w:b/>
          <w:bCs/>
          <w:kern w:val="0"/>
          <w:sz w:val="24"/>
          <w:szCs w:val="24"/>
          <w:lang w:val="zh-CN"/>
        </w:rPr>
        <w:t>标（</w:t>
      </w:r>
      <w:r>
        <w:rPr>
          <w:rFonts w:hint="eastAsia" w:asciiTheme="minorEastAsia" w:hAnsiTheme="minorEastAsia" w:cstheme="minorEastAsia"/>
          <w:b/>
          <w:bCs/>
          <w:kern w:val="0"/>
          <w:sz w:val="24"/>
          <w:szCs w:val="24"/>
        </w:rPr>
        <w:t>上传至经济标-投标函部分</w:t>
      </w:r>
      <w:r>
        <w:rPr>
          <w:rFonts w:hint="eastAsia" w:asciiTheme="minorEastAsia" w:hAnsiTheme="minorEastAsia" w:cstheme="minorEastAsia"/>
          <w:b/>
          <w:bCs/>
          <w:kern w:val="0"/>
          <w:sz w:val="24"/>
          <w:szCs w:val="24"/>
          <w:lang w:val="zh-CN"/>
        </w:rPr>
        <w:t>）</w:t>
      </w:r>
    </w:p>
    <w:p w14:paraId="233D3C6E">
      <w:pPr>
        <w:adjustRightInd w:val="0"/>
        <w:snapToGrid w:val="0"/>
        <w:spacing w:line="360" w:lineRule="auto"/>
        <w:ind w:firstLine="480" w:firstLineChars="200"/>
        <w:jc w:val="left"/>
      </w:pPr>
      <w:r>
        <w:rPr>
          <w:rFonts w:hint="eastAsia" w:asciiTheme="minorEastAsia" w:hAnsiTheme="minorEastAsia" w:cstheme="minorEastAsia"/>
          <w:sz w:val="24"/>
          <w:szCs w:val="24"/>
        </w:rPr>
        <w:t>1.开标一览表</w:t>
      </w:r>
      <w:r>
        <w:rPr>
          <w:rFonts w:hint="eastAsia" w:asciiTheme="minorEastAsia" w:hAnsiTheme="minorEastAsia" w:cstheme="minorEastAsia"/>
          <w:sz w:val="24"/>
          <w:szCs w:val="24"/>
          <w:lang w:val="zh-CN"/>
        </w:rPr>
        <w:t>（</w:t>
      </w:r>
      <w:r>
        <w:rPr>
          <w:rFonts w:hint="eastAsia" w:asciiTheme="minorEastAsia" w:hAnsiTheme="minorEastAsia" w:cstheme="minorEastAsia"/>
          <w:sz w:val="24"/>
          <w:szCs w:val="24"/>
        </w:rPr>
        <w:t>见</w:t>
      </w:r>
      <w:r>
        <w:rPr>
          <w:rFonts w:hint="eastAsia" w:asciiTheme="minorEastAsia" w:hAnsiTheme="minorEastAsia" w:cstheme="minorEastAsia"/>
          <w:sz w:val="24"/>
          <w:szCs w:val="24"/>
          <w:lang w:val="zh-CN"/>
        </w:rPr>
        <w:t>格式</w:t>
      </w:r>
      <w:r>
        <w:rPr>
          <w:rFonts w:hint="eastAsia" w:asciiTheme="minorEastAsia" w:hAnsiTheme="minorEastAsia" w:cstheme="minorEastAsia"/>
          <w:sz w:val="24"/>
          <w:szCs w:val="24"/>
        </w:rPr>
        <w:t>四</w:t>
      </w:r>
      <w:r>
        <w:rPr>
          <w:rFonts w:hint="eastAsia" w:asciiTheme="minorEastAsia" w:hAnsiTheme="minorEastAsia" w:cstheme="minorEastAsia"/>
          <w:sz w:val="24"/>
          <w:szCs w:val="24"/>
          <w:lang w:val="zh-CN"/>
        </w:rPr>
        <w:t>，加盖投标人电子签章或红色实物章印）。</w:t>
      </w:r>
    </w:p>
    <w:p w14:paraId="7F441249">
      <w:pPr>
        <w:jc w:val="right"/>
        <w:rPr>
          <w:rFonts w:hint="eastAsia" w:ascii="宋体" w:hAnsi="宋体" w:cs="宋体"/>
          <w:b/>
          <w:sz w:val="36"/>
          <w:szCs w:val="36"/>
        </w:rPr>
      </w:pPr>
    </w:p>
    <w:p w14:paraId="48CE8D6D">
      <w:pPr>
        <w:pStyle w:val="25"/>
      </w:pPr>
    </w:p>
    <w:p w14:paraId="26BAAE0F">
      <w:pPr>
        <w:pStyle w:val="25"/>
      </w:pPr>
    </w:p>
    <w:p w14:paraId="3547F59F">
      <w:pPr>
        <w:pStyle w:val="25"/>
      </w:pPr>
    </w:p>
    <w:p w14:paraId="2AC9ED01">
      <w:pPr>
        <w:pStyle w:val="25"/>
      </w:pPr>
    </w:p>
    <w:p w14:paraId="5B745B85">
      <w:pPr>
        <w:pStyle w:val="25"/>
      </w:pPr>
    </w:p>
    <w:p w14:paraId="717E81EA">
      <w:pPr>
        <w:jc w:val="right"/>
        <w:rPr>
          <w:rFonts w:hint="eastAsia" w:ascii="宋体" w:hAnsi="宋体" w:cs="宋体"/>
          <w:b/>
          <w:sz w:val="36"/>
          <w:szCs w:val="36"/>
        </w:rPr>
      </w:pPr>
      <w:r>
        <w:rPr>
          <w:rFonts w:hint="eastAsia" w:ascii="宋体" w:hAnsi="宋体" w:cs="宋体"/>
          <w:b/>
          <w:sz w:val="36"/>
          <w:szCs w:val="36"/>
        </w:rPr>
        <w:t>正（副）本</w:t>
      </w:r>
    </w:p>
    <w:p w14:paraId="1D4AD08A">
      <w:pPr>
        <w:ind w:firstLine="420"/>
        <w:jc w:val="center"/>
        <w:rPr>
          <w:rFonts w:hint="eastAsia" w:ascii="仿宋" w:hAnsi="仿宋" w:eastAsia="仿宋"/>
          <w:b/>
          <w:color w:val="000000"/>
          <w:sz w:val="72"/>
        </w:rPr>
      </w:pPr>
    </w:p>
    <w:p w14:paraId="5A2F1293">
      <w:pPr>
        <w:ind w:firstLine="420"/>
        <w:jc w:val="center"/>
        <w:rPr>
          <w:rFonts w:hint="eastAsia" w:ascii="仿宋" w:hAnsi="仿宋" w:eastAsia="仿宋"/>
          <w:b/>
          <w:color w:val="000000"/>
          <w:sz w:val="72"/>
        </w:rPr>
      </w:pPr>
    </w:p>
    <w:p w14:paraId="5AE88670">
      <w:pPr>
        <w:rPr>
          <w:rFonts w:hint="eastAsia" w:ascii="仿宋" w:hAnsi="仿宋" w:eastAsia="仿宋"/>
          <w:b/>
          <w:color w:val="000000"/>
          <w:sz w:val="72"/>
        </w:rPr>
      </w:pPr>
      <w:r>
        <w:rPr>
          <w:rFonts w:ascii="仿宋" w:hAnsi="仿宋" w:eastAsia="仿宋"/>
          <w:b/>
          <w:color w:val="000000"/>
          <w:sz w:val="72"/>
        </w:rPr>
        <w:t>投  标  响  应  文  件</w:t>
      </w:r>
    </w:p>
    <w:p w14:paraId="257A6C40">
      <w:pPr>
        <w:ind w:firstLine="420"/>
        <w:jc w:val="center"/>
        <w:rPr>
          <w:rFonts w:hint="eastAsia" w:ascii="仿宋" w:hAnsi="仿宋" w:eastAsia="仿宋"/>
          <w:b/>
          <w:color w:val="000000"/>
          <w:sz w:val="30"/>
        </w:rPr>
      </w:pPr>
      <w:r>
        <w:rPr>
          <w:rFonts w:hint="eastAsia" w:ascii="宋体" w:hAnsi="宋体" w:cs="宋体"/>
          <w:b/>
          <w:sz w:val="32"/>
          <w:szCs w:val="32"/>
        </w:rPr>
        <w:t>（资审文件/技术标文件/经济标文件）</w:t>
      </w:r>
    </w:p>
    <w:p w14:paraId="6497ACDD">
      <w:pPr>
        <w:ind w:firstLine="1446"/>
        <w:jc w:val="center"/>
        <w:rPr>
          <w:rFonts w:hint="eastAsia" w:ascii="仿宋" w:hAnsi="仿宋" w:eastAsia="仿宋"/>
          <w:b/>
          <w:color w:val="000000"/>
          <w:sz w:val="72"/>
        </w:rPr>
      </w:pPr>
    </w:p>
    <w:p w14:paraId="29CF7D6B">
      <w:pPr>
        <w:ind w:firstLine="723"/>
        <w:jc w:val="center"/>
        <w:rPr>
          <w:rFonts w:hint="eastAsia" w:ascii="仿宋" w:hAnsi="仿宋" w:eastAsia="仿宋"/>
          <w:b/>
          <w:color w:val="000000"/>
          <w:sz w:val="36"/>
        </w:rPr>
      </w:pPr>
    </w:p>
    <w:p w14:paraId="180B3143">
      <w:pPr>
        <w:ind w:firstLine="2349"/>
        <w:jc w:val="left"/>
        <w:rPr>
          <w:rFonts w:hint="eastAsia" w:ascii="仿宋" w:hAnsi="仿宋" w:eastAsia="仿宋"/>
          <w:b/>
          <w:color w:val="000000"/>
          <w:sz w:val="36"/>
        </w:rPr>
      </w:pPr>
    </w:p>
    <w:p w14:paraId="006DA472">
      <w:pPr>
        <w:ind w:firstLine="2349"/>
        <w:jc w:val="left"/>
        <w:rPr>
          <w:rFonts w:hint="eastAsia" w:ascii="仿宋" w:hAnsi="仿宋" w:eastAsia="仿宋"/>
          <w:b/>
          <w:color w:val="000000"/>
          <w:sz w:val="36"/>
        </w:rPr>
      </w:pPr>
    </w:p>
    <w:p w14:paraId="094A595F">
      <w:pPr>
        <w:ind w:firstLine="2349"/>
        <w:jc w:val="left"/>
        <w:rPr>
          <w:rFonts w:hint="eastAsia" w:ascii="仿宋" w:hAnsi="仿宋" w:eastAsia="仿宋"/>
          <w:b/>
          <w:color w:val="000000"/>
          <w:sz w:val="36"/>
        </w:rPr>
      </w:pPr>
    </w:p>
    <w:p w14:paraId="04534E95">
      <w:pPr>
        <w:ind w:firstLine="2349"/>
        <w:jc w:val="left"/>
        <w:rPr>
          <w:rFonts w:hint="eastAsia" w:ascii="仿宋" w:hAnsi="仿宋" w:eastAsia="仿宋"/>
          <w:b/>
          <w:color w:val="000000"/>
          <w:sz w:val="36"/>
        </w:rPr>
      </w:pPr>
    </w:p>
    <w:p w14:paraId="0AFA6A89">
      <w:pPr>
        <w:ind w:firstLine="2349"/>
        <w:jc w:val="left"/>
        <w:rPr>
          <w:rFonts w:hint="eastAsia" w:ascii="仿宋" w:hAnsi="仿宋" w:eastAsia="仿宋"/>
          <w:b/>
          <w:color w:val="000000"/>
          <w:sz w:val="36"/>
        </w:rPr>
      </w:pPr>
    </w:p>
    <w:p w14:paraId="43D5AEAC">
      <w:pPr>
        <w:ind w:firstLine="2349"/>
        <w:jc w:val="left"/>
        <w:rPr>
          <w:rFonts w:hint="eastAsia" w:ascii="仿宋" w:hAnsi="仿宋" w:eastAsia="仿宋"/>
          <w:b/>
          <w:color w:val="000000"/>
          <w:sz w:val="36"/>
        </w:rPr>
      </w:pPr>
    </w:p>
    <w:p w14:paraId="779AD4B6">
      <w:pPr>
        <w:spacing w:line="360" w:lineRule="auto"/>
        <w:ind w:firstLine="2349"/>
        <w:jc w:val="left"/>
        <w:rPr>
          <w:rFonts w:hint="eastAsia" w:ascii="仿宋" w:hAnsi="仿宋" w:eastAsia="仿宋"/>
          <w:b/>
          <w:color w:val="000000"/>
          <w:sz w:val="36"/>
        </w:rPr>
      </w:pPr>
    </w:p>
    <w:p w14:paraId="09DF3292">
      <w:pPr>
        <w:spacing w:line="360" w:lineRule="auto"/>
        <w:jc w:val="left"/>
        <w:rPr>
          <w:rFonts w:hint="eastAsia" w:ascii="仿宋" w:hAnsi="仿宋" w:eastAsia="仿宋"/>
          <w:b/>
          <w:color w:val="000000"/>
          <w:sz w:val="36"/>
        </w:rPr>
      </w:pPr>
      <w:r>
        <w:rPr>
          <w:rFonts w:ascii="仿宋" w:hAnsi="仿宋" w:eastAsia="仿宋"/>
          <w:b/>
          <w:color w:val="000000"/>
          <w:sz w:val="36"/>
        </w:rPr>
        <w:t xml:space="preserve">    项 目 名 称：</w:t>
      </w:r>
      <w:r>
        <w:rPr>
          <w:rFonts w:ascii="仿宋" w:hAnsi="仿宋" w:eastAsia="仿宋"/>
          <w:b/>
          <w:color w:val="000000"/>
          <w:sz w:val="36"/>
          <w:u w:val="single"/>
        </w:rPr>
        <w:t xml:space="preserve">                        </w:t>
      </w:r>
    </w:p>
    <w:p w14:paraId="52A3C69B">
      <w:pPr>
        <w:spacing w:line="360" w:lineRule="auto"/>
        <w:ind w:firstLine="723"/>
        <w:jc w:val="left"/>
        <w:rPr>
          <w:rFonts w:hint="eastAsia" w:ascii="仿宋" w:hAnsi="仿宋" w:eastAsia="仿宋"/>
          <w:b/>
          <w:color w:val="000000"/>
          <w:sz w:val="36"/>
          <w:u w:val="single"/>
        </w:rPr>
      </w:pPr>
      <w:r>
        <w:rPr>
          <w:rFonts w:ascii="仿宋" w:hAnsi="仿宋" w:eastAsia="仿宋"/>
          <w:b/>
          <w:color w:val="000000"/>
          <w:sz w:val="36"/>
        </w:rPr>
        <w:t>供应商名称 ：</w:t>
      </w:r>
      <w:r>
        <w:rPr>
          <w:rFonts w:ascii="仿宋" w:hAnsi="仿宋" w:eastAsia="仿宋"/>
          <w:b/>
          <w:color w:val="000000"/>
          <w:sz w:val="36"/>
          <w:u w:val="single"/>
        </w:rPr>
        <w:t xml:space="preserve">                        </w:t>
      </w:r>
    </w:p>
    <w:p w14:paraId="700711A8">
      <w:pPr>
        <w:spacing w:line="360" w:lineRule="auto"/>
        <w:ind w:firstLine="723"/>
        <w:jc w:val="left"/>
        <w:rPr>
          <w:rFonts w:hint="eastAsia" w:ascii="仿宋" w:hAnsi="仿宋" w:eastAsia="仿宋"/>
          <w:color w:val="000000"/>
          <w:sz w:val="24"/>
        </w:rPr>
      </w:pPr>
      <w:r>
        <w:rPr>
          <w:rFonts w:ascii="仿宋" w:hAnsi="仿宋" w:eastAsia="仿宋"/>
          <w:b/>
          <w:color w:val="000000"/>
          <w:sz w:val="36"/>
        </w:rPr>
        <w:t>日      期 ：</w:t>
      </w:r>
      <w:r>
        <w:rPr>
          <w:rFonts w:ascii="仿宋" w:hAnsi="仿宋" w:eastAsia="仿宋"/>
          <w:b/>
          <w:color w:val="000000"/>
          <w:sz w:val="36"/>
          <w:u w:val="single"/>
        </w:rPr>
        <w:t xml:space="preserve">                        </w:t>
      </w:r>
    </w:p>
    <w:p w14:paraId="5A3D42B4">
      <w:pPr>
        <w:snapToGrid w:val="0"/>
        <w:spacing w:line="400" w:lineRule="exact"/>
        <w:contextualSpacing/>
        <w:rPr>
          <w:rFonts w:hint="eastAsia" w:asciiTheme="minorEastAsia" w:hAnsiTheme="minorEastAsia" w:cstheme="minorEastAsia"/>
          <w:b/>
          <w:sz w:val="30"/>
          <w:szCs w:val="30"/>
        </w:rPr>
      </w:pPr>
      <w:r>
        <w:rPr>
          <w:rFonts w:hint="eastAsia" w:asciiTheme="minorEastAsia" w:hAnsiTheme="minorEastAsia" w:cstheme="minorEastAsia"/>
        </w:rPr>
        <w:br w:type="page"/>
      </w:r>
      <w:bookmarkStart w:id="11" w:name="_Toc287782051"/>
      <w:bookmarkStart w:id="12" w:name="_Toc434820118"/>
      <w:r>
        <w:rPr>
          <w:rFonts w:hint="eastAsia" w:asciiTheme="minorEastAsia" w:hAnsiTheme="minorEastAsia" w:cstheme="minorEastAsia"/>
          <w:sz w:val="32"/>
          <w:szCs w:val="32"/>
        </w:rPr>
        <w:t xml:space="preserve">格式一   </w:t>
      </w:r>
      <w:bookmarkEnd w:id="11"/>
      <w:bookmarkEnd w:id="12"/>
      <w:r>
        <w:rPr>
          <w:rFonts w:hint="eastAsia" w:asciiTheme="minorEastAsia" w:hAnsiTheme="minorEastAsia" w:cstheme="minorEastAsia"/>
          <w:b/>
          <w:sz w:val="30"/>
          <w:szCs w:val="30"/>
        </w:rPr>
        <w:t>投标人符合《政府采购法》第二十二条规定条件的声明函</w:t>
      </w:r>
    </w:p>
    <w:p w14:paraId="7B34EA26">
      <w:pPr>
        <w:spacing w:line="460" w:lineRule="exact"/>
        <w:rPr>
          <w:rFonts w:hint="eastAsia" w:asciiTheme="minorEastAsia" w:hAnsiTheme="minorEastAsia" w:cstheme="minorEastAsia"/>
          <w:b/>
          <w:bCs/>
          <w:sz w:val="44"/>
          <w:szCs w:val="44"/>
        </w:rPr>
      </w:pPr>
      <w:r>
        <w:rPr>
          <w:rFonts w:hint="eastAsia" w:asciiTheme="minorEastAsia" w:hAnsiTheme="minorEastAsia" w:cstheme="minorEastAsia"/>
          <w:b/>
          <w:bCs/>
          <w:sz w:val="24"/>
        </w:rPr>
        <w:t xml:space="preserve">                       </w:t>
      </w:r>
      <w:r>
        <w:rPr>
          <w:rFonts w:hint="eastAsia" w:asciiTheme="minorEastAsia" w:hAnsiTheme="minorEastAsia" w:cstheme="minorEastAsia"/>
          <w:b/>
          <w:bCs/>
          <w:sz w:val="44"/>
          <w:szCs w:val="44"/>
        </w:rPr>
        <w:t xml:space="preserve">   </w:t>
      </w:r>
    </w:p>
    <w:p w14:paraId="3807B030">
      <w:pPr>
        <w:spacing w:line="520" w:lineRule="exact"/>
        <w:ind w:firstLine="480" w:firstLineChars="200"/>
        <w:rPr>
          <w:rFonts w:hint="eastAsia" w:asciiTheme="minorEastAsia" w:hAnsiTheme="minorEastAsia" w:cstheme="minorEastAsia"/>
          <w:b/>
          <w:bCs/>
          <w:sz w:val="24"/>
        </w:rPr>
      </w:pPr>
      <w:r>
        <w:rPr>
          <w:rFonts w:hint="eastAsia" w:asciiTheme="minorEastAsia" w:hAnsiTheme="minorEastAsia" w:cstheme="minorEastAsia"/>
          <w:bCs/>
          <w:sz w:val="24"/>
        </w:rPr>
        <w:t>我单位参加</w:t>
      </w:r>
      <w:r>
        <w:rPr>
          <w:rFonts w:hint="eastAsia" w:asciiTheme="minorEastAsia" w:hAnsiTheme="minorEastAsia" w:cstheme="minorEastAsia"/>
          <w:bCs/>
          <w:sz w:val="24"/>
          <w:u w:val="single"/>
        </w:rPr>
        <w:t xml:space="preserve">              </w:t>
      </w:r>
      <w:r>
        <w:rPr>
          <w:rFonts w:hint="eastAsia" w:asciiTheme="minorEastAsia" w:hAnsiTheme="minorEastAsia" w:cstheme="minorEastAsia"/>
          <w:bCs/>
          <w:sz w:val="24"/>
        </w:rPr>
        <w:t>（项目名称）投标活动。针对《中华人民共和国政府采购法》第二十二条规定做出如下声明：</w:t>
      </w:r>
    </w:p>
    <w:p w14:paraId="19FEE8FF">
      <w:pPr>
        <w:spacing w:line="520" w:lineRule="exact"/>
        <w:ind w:firstLine="482"/>
        <w:rPr>
          <w:rFonts w:hint="eastAsia" w:asciiTheme="minorEastAsia" w:hAnsiTheme="minorEastAsia" w:cstheme="minorEastAsia"/>
          <w:sz w:val="24"/>
        </w:rPr>
      </w:pPr>
      <w:r>
        <w:rPr>
          <w:rFonts w:hint="eastAsia" w:asciiTheme="minorEastAsia" w:hAnsiTheme="minorEastAsia" w:cstheme="minorEastAsia"/>
          <w:bCs/>
          <w:sz w:val="24"/>
        </w:rPr>
        <w:t>1.我单位具有独立承担民事责任的能力；</w:t>
      </w:r>
    </w:p>
    <w:p w14:paraId="633D4405">
      <w:pPr>
        <w:spacing w:line="520" w:lineRule="exact"/>
        <w:ind w:firstLine="482"/>
        <w:rPr>
          <w:rFonts w:hint="eastAsia" w:asciiTheme="minorEastAsia" w:hAnsiTheme="minorEastAsia" w:cstheme="minorEastAsia"/>
          <w:sz w:val="24"/>
        </w:rPr>
      </w:pPr>
      <w:r>
        <w:rPr>
          <w:rFonts w:hint="eastAsia" w:asciiTheme="minorEastAsia" w:hAnsiTheme="minorEastAsia" w:cstheme="minorEastAsia"/>
          <w:sz w:val="24"/>
        </w:rPr>
        <w:t>2.我单位具有良好的商业信誉和健全的财务会计制度；</w:t>
      </w:r>
    </w:p>
    <w:p w14:paraId="4067554C">
      <w:pPr>
        <w:spacing w:line="520" w:lineRule="exact"/>
        <w:ind w:firstLine="482"/>
        <w:rPr>
          <w:rFonts w:hint="eastAsia" w:asciiTheme="minorEastAsia" w:hAnsiTheme="minorEastAsia" w:cstheme="minorEastAsia"/>
          <w:sz w:val="24"/>
        </w:rPr>
      </w:pPr>
      <w:r>
        <w:rPr>
          <w:rFonts w:hint="eastAsia" w:asciiTheme="minorEastAsia" w:hAnsiTheme="minorEastAsia" w:cstheme="minorEastAsia"/>
          <w:sz w:val="24"/>
        </w:rPr>
        <w:t>3.我单位具有履行合同所必需的设备和专业技术能力；</w:t>
      </w:r>
    </w:p>
    <w:p w14:paraId="57402A83">
      <w:pPr>
        <w:spacing w:line="520" w:lineRule="exact"/>
        <w:ind w:firstLine="482"/>
        <w:rPr>
          <w:rFonts w:hint="eastAsia" w:asciiTheme="minorEastAsia" w:hAnsiTheme="minorEastAsia" w:cstheme="minorEastAsia"/>
          <w:sz w:val="24"/>
        </w:rPr>
      </w:pPr>
      <w:r>
        <w:rPr>
          <w:rFonts w:hint="eastAsia" w:asciiTheme="minorEastAsia" w:hAnsiTheme="minorEastAsia" w:cstheme="minorEastAsia"/>
          <w:sz w:val="24"/>
        </w:rPr>
        <w:t>4.我单位有依法缴纳税收和社会保障资金的良好记录；</w:t>
      </w:r>
    </w:p>
    <w:p w14:paraId="53ABBEA0">
      <w:pPr>
        <w:spacing w:line="520" w:lineRule="exact"/>
        <w:ind w:firstLine="482"/>
        <w:rPr>
          <w:rFonts w:hint="eastAsia" w:asciiTheme="minorEastAsia" w:hAnsiTheme="minorEastAsia" w:cstheme="minorEastAsia"/>
          <w:sz w:val="24"/>
        </w:rPr>
      </w:pPr>
      <w:r>
        <w:rPr>
          <w:rFonts w:hint="eastAsia" w:asciiTheme="minorEastAsia" w:hAnsiTheme="minorEastAsia" w:cstheme="minor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EBCF48F">
      <w:pPr>
        <w:spacing w:line="520" w:lineRule="exact"/>
        <w:ind w:firstLine="482"/>
        <w:rPr>
          <w:rFonts w:hint="eastAsia" w:asciiTheme="minorEastAsia" w:hAnsiTheme="minorEastAsia" w:cstheme="minorEastAsia"/>
          <w:sz w:val="24"/>
        </w:rPr>
      </w:pPr>
      <w:r>
        <w:rPr>
          <w:rFonts w:hint="eastAsia" w:asciiTheme="minorEastAsia" w:hAnsiTheme="minorEastAsia" w:cstheme="minorEastAsia"/>
          <w:sz w:val="24"/>
        </w:rPr>
        <w:t>6.我单位满足法律、行政法规规定的其他条件。</w:t>
      </w:r>
    </w:p>
    <w:p w14:paraId="31FF1C7E">
      <w:pPr>
        <w:spacing w:line="500" w:lineRule="exact"/>
        <w:ind w:firstLine="482"/>
        <w:rPr>
          <w:rFonts w:hint="eastAsia" w:asciiTheme="minorEastAsia" w:hAnsiTheme="minorEastAsia" w:cstheme="minorEastAsia"/>
          <w:sz w:val="24"/>
        </w:rPr>
      </w:pPr>
    </w:p>
    <w:p w14:paraId="22F4E212">
      <w:pPr>
        <w:spacing w:line="500" w:lineRule="exact"/>
        <w:rPr>
          <w:rFonts w:hint="eastAsia" w:asciiTheme="minorEastAsia" w:hAnsiTheme="minorEastAsia" w:cstheme="minorEastAsia"/>
          <w:sz w:val="24"/>
        </w:rPr>
      </w:pPr>
    </w:p>
    <w:p w14:paraId="27918D47">
      <w:pPr>
        <w:spacing w:line="500" w:lineRule="exact"/>
        <w:rPr>
          <w:rFonts w:hint="eastAsia" w:asciiTheme="minorEastAsia" w:hAnsiTheme="minorEastAsia" w:cstheme="minorEastAsia"/>
          <w:bCs/>
          <w:sz w:val="24"/>
        </w:rPr>
      </w:pPr>
    </w:p>
    <w:p w14:paraId="15E5B43D">
      <w:pPr>
        <w:spacing w:line="500" w:lineRule="exact"/>
        <w:rPr>
          <w:rFonts w:hint="eastAsia" w:asciiTheme="minorEastAsia" w:hAnsiTheme="minorEastAsia" w:cstheme="minorEastAsia"/>
          <w:bCs/>
          <w:sz w:val="24"/>
        </w:rPr>
      </w:pPr>
    </w:p>
    <w:p w14:paraId="28403AAA">
      <w:pPr>
        <w:spacing w:line="500" w:lineRule="exact"/>
        <w:rPr>
          <w:rFonts w:hint="eastAsia" w:asciiTheme="minorEastAsia" w:hAnsiTheme="minorEastAsia" w:cstheme="minorEastAsia"/>
          <w:bCs/>
          <w:sz w:val="24"/>
        </w:rPr>
      </w:pPr>
    </w:p>
    <w:p w14:paraId="43174F91">
      <w:pPr>
        <w:spacing w:line="460" w:lineRule="exact"/>
        <w:jc w:val="center"/>
        <w:rPr>
          <w:rFonts w:hint="eastAsia" w:asciiTheme="minorEastAsia" w:hAnsiTheme="minorEastAsia" w:cstheme="minorEastAsia"/>
          <w:bCs/>
          <w:sz w:val="24"/>
        </w:rPr>
      </w:pPr>
      <w:r>
        <w:rPr>
          <w:rFonts w:hint="eastAsia" w:asciiTheme="minorEastAsia" w:hAnsiTheme="minorEastAsia" w:cstheme="minorEastAsia"/>
          <w:bCs/>
          <w:sz w:val="24"/>
        </w:rPr>
        <w:t xml:space="preserve">                                             承诺人名称（公章）：</w:t>
      </w:r>
    </w:p>
    <w:p w14:paraId="70545646">
      <w:pPr>
        <w:spacing w:line="460" w:lineRule="exact"/>
        <w:jc w:val="right"/>
        <w:rPr>
          <w:rFonts w:hint="eastAsia" w:asciiTheme="minorEastAsia" w:hAnsiTheme="minorEastAsia" w:cstheme="minorEastAsia"/>
          <w:bCs/>
          <w:sz w:val="24"/>
        </w:rPr>
      </w:pPr>
      <w:r>
        <w:rPr>
          <w:rFonts w:hint="eastAsia" w:asciiTheme="minorEastAsia" w:hAnsiTheme="minorEastAsia" w:cstheme="minorEastAsia"/>
          <w:bCs/>
          <w:sz w:val="24"/>
        </w:rPr>
        <w:t xml:space="preserve">    </w:t>
      </w:r>
    </w:p>
    <w:p w14:paraId="6E7EAB25">
      <w:pPr>
        <w:spacing w:line="460" w:lineRule="exact"/>
        <w:jc w:val="right"/>
        <w:rPr>
          <w:rFonts w:hint="eastAsia" w:asciiTheme="minorEastAsia" w:hAnsiTheme="minorEastAsia" w:cstheme="minorEastAsia"/>
          <w:bCs/>
          <w:sz w:val="24"/>
        </w:rPr>
      </w:pPr>
      <w:r>
        <w:rPr>
          <w:rFonts w:hint="eastAsia" w:asciiTheme="minorEastAsia" w:hAnsiTheme="minorEastAsia" w:cstheme="minorEastAsia"/>
          <w:bCs/>
          <w:sz w:val="24"/>
        </w:rPr>
        <w:t xml:space="preserve">                                 日期：</w:t>
      </w:r>
      <w:r>
        <w:rPr>
          <w:rFonts w:hint="eastAsia" w:asciiTheme="minorEastAsia" w:hAnsiTheme="minorEastAsia" w:cstheme="minorEastAsia"/>
          <w:bCs/>
          <w:sz w:val="24"/>
          <w:u w:val="single"/>
        </w:rPr>
        <w:t xml:space="preserve">      </w:t>
      </w:r>
      <w:r>
        <w:rPr>
          <w:rFonts w:hint="eastAsia" w:asciiTheme="minorEastAsia" w:hAnsiTheme="minorEastAsia" w:cstheme="minorEastAsia"/>
          <w:bCs/>
          <w:sz w:val="24"/>
        </w:rPr>
        <w:t>年</w:t>
      </w:r>
      <w:r>
        <w:rPr>
          <w:rFonts w:hint="eastAsia" w:asciiTheme="minorEastAsia" w:hAnsiTheme="minorEastAsia" w:cstheme="minorEastAsia"/>
          <w:bCs/>
          <w:sz w:val="24"/>
          <w:u w:val="single"/>
        </w:rPr>
        <w:t xml:space="preserve">    </w:t>
      </w:r>
      <w:r>
        <w:rPr>
          <w:rFonts w:hint="eastAsia" w:asciiTheme="minorEastAsia" w:hAnsiTheme="minorEastAsia" w:cstheme="minorEastAsia"/>
          <w:bCs/>
          <w:sz w:val="24"/>
        </w:rPr>
        <w:t>月</w:t>
      </w:r>
      <w:r>
        <w:rPr>
          <w:rFonts w:hint="eastAsia" w:asciiTheme="minorEastAsia" w:hAnsiTheme="minorEastAsia" w:cstheme="minorEastAsia"/>
          <w:bCs/>
          <w:sz w:val="24"/>
          <w:u w:val="single"/>
        </w:rPr>
        <w:t xml:space="preserve">    </w:t>
      </w:r>
      <w:r>
        <w:rPr>
          <w:rFonts w:hint="eastAsia" w:asciiTheme="minorEastAsia" w:hAnsiTheme="minorEastAsia" w:cstheme="minorEastAsia"/>
          <w:bCs/>
          <w:sz w:val="24"/>
        </w:rPr>
        <w:t>日</w:t>
      </w:r>
    </w:p>
    <w:p w14:paraId="0C78A40E">
      <w:pPr>
        <w:rPr>
          <w:rFonts w:hint="eastAsia" w:asciiTheme="minorEastAsia" w:hAnsiTheme="minorEastAsia" w:cstheme="minorEastAsia"/>
        </w:rPr>
      </w:pPr>
    </w:p>
    <w:p w14:paraId="0B3A5913">
      <w:pPr>
        <w:spacing w:line="480" w:lineRule="exact"/>
        <w:jc w:val="center"/>
        <w:rPr>
          <w:rFonts w:hint="eastAsia" w:asciiTheme="minorEastAsia" w:hAnsiTheme="minorEastAsia" w:cstheme="minorEastAsia"/>
          <w:b/>
          <w:color w:val="000000"/>
          <w:sz w:val="32"/>
        </w:rPr>
      </w:pPr>
    </w:p>
    <w:p w14:paraId="5877D2EA">
      <w:pPr>
        <w:spacing w:line="480" w:lineRule="exact"/>
        <w:jc w:val="center"/>
        <w:rPr>
          <w:rFonts w:hint="eastAsia" w:asciiTheme="minorEastAsia" w:hAnsiTheme="minorEastAsia" w:cstheme="minorEastAsia"/>
          <w:b/>
          <w:color w:val="000000"/>
          <w:sz w:val="32"/>
        </w:rPr>
      </w:pPr>
    </w:p>
    <w:p w14:paraId="07E350E0">
      <w:pPr>
        <w:rPr>
          <w:rFonts w:hint="eastAsia" w:asciiTheme="minorEastAsia" w:hAnsiTheme="minorEastAsia" w:cstheme="minorEastAsia"/>
        </w:rPr>
      </w:pPr>
    </w:p>
    <w:p w14:paraId="36A24A23">
      <w:pPr>
        <w:spacing w:line="480" w:lineRule="exact"/>
        <w:jc w:val="center"/>
        <w:rPr>
          <w:rFonts w:hint="eastAsia" w:asciiTheme="minorEastAsia" w:hAnsiTheme="minorEastAsia" w:cstheme="minorEastAsia"/>
          <w:b/>
          <w:color w:val="000000"/>
          <w:sz w:val="32"/>
        </w:rPr>
      </w:pPr>
    </w:p>
    <w:p w14:paraId="0B02F35D">
      <w:pPr>
        <w:snapToGrid w:val="0"/>
        <w:spacing w:line="360" w:lineRule="auto"/>
        <w:ind w:firstLine="482"/>
        <w:jc w:val="center"/>
        <w:rPr>
          <w:rFonts w:hint="eastAsia" w:asciiTheme="minorEastAsia" w:hAnsiTheme="minorEastAsia" w:cstheme="minorEastAsia"/>
          <w:b/>
          <w:color w:val="000000"/>
        </w:rPr>
      </w:pPr>
      <w:r>
        <w:rPr>
          <w:rFonts w:hint="eastAsia" w:asciiTheme="minorEastAsia" w:hAnsiTheme="minorEastAsia" w:cstheme="minorEastAsia"/>
          <w:b/>
          <w:color w:val="000000"/>
          <w:sz w:val="32"/>
        </w:rPr>
        <w:t>格式二、法定代表人或经营者授权书格式</w:t>
      </w:r>
    </w:p>
    <w:p w14:paraId="0B3EF7AD">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本授权书声明：</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（供应商单位名称）</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（法定代表人或经营者姓名）授权</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（被授权人的姓名）为我方就如东县人民医院个人数字证书采购</w:t>
      </w:r>
      <w:r>
        <w:rPr>
          <w:rFonts w:hint="eastAsia" w:asciiTheme="minorEastAsia" w:hAnsiTheme="minorEastAsia" w:cstheme="minorEastAsia"/>
          <w:color w:val="000000"/>
          <w:sz w:val="24"/>
          <w:lang w:eastAsia="zh-CN"/>
        </w:rPr>
        <w:t>及</w:t>
      </w:r>
      <w:r>
        <w:rPr>
          <w:rFonts w:hint="eastAsia" w:asciiTheme="minorEastAsia" w:hAnsiTheme="minorEastAsia" w:cstheme="minorEastAsia"/>
          <w:color w:val="000000"/>
          <w:sz w:val="24"/>
        </w:rPr>
        <w:t>服务项目投标活动的授权委托人（即代理人），以本公司名义全权处理一切与该项目投标有关的事务。</w:t>
      </w:r>
    </w:p>
    <w:p w14:paraId="09B066DE">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14:paraId="4F66FCE8">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本授权书于</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年</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月</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日签字或盖章生效，特此声明。</w:t>
      </w:r>
    </w:p>
    <w:p w14:paraId="3D013B34">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授权委托人（即代理人）无转委托权，特此委托。</w:t>
      </w:r>
    </w:p>
    <w:p w14:paraId="73491B72">
      <w:pPr>
        <w:spacing w:line="420" w:lineRule="exact"/>
        <w:ind w:firstLine="480"/>
        <w:jc w:val="left"/>
        <w:rPr>
          <w:rFonts w:hint="eastAsia" w:asciiTheme="minorEastAsia" w:hAnsiTheme="minorEastAsia" w:cstheme="minorEastAsia"/>
          <w:color w:val="000000"/>
          <w:sz w:val="24"/>
        </w:rPr>
      </w:pPr>
    </w:p>
    <w:p w14:paraId="56AED149">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法定代表人或经营者签字或盖章：</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 xml:space="preserve">          </w:t>
      </w:r>
    </w:p>
    <w:p w14:paraId="0B9FB484">
      <w:pPr>
        <w:spacing w:line="420" w:lineRule="exact"/>
        <w:ind w:firstLine="480"/>
        <w:jc w:val="left"/>
        <w:rPr>
          <w:rFonts w:hint="eastAsia" w:asciiTheme="minorEastAsia" w:hAnsiTheme="minorEastAsia" w:cstheme="minorEastAsia"/>
          <w:color w:val="000000"/>
          <w:sz w:val="24"/>
        </w:rPr>
      </w:pPr>
    </w:p>
    <w:p w14:paraId="08DCDB03">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授权委托人（即代理人）签字或盖章：</w:t>
      </w:r>
      <w:r>
        <w:rPr>
          <w:rFonts w:hint="eastAsia" w:asciiTheme="minorEastAsia" w:hAnsiTheme="minorEastAsia" w:cstheme="minorEastAsia"/>
          <w:color w:val="000000"/>
          <w:sz w:val="24"/>
          <w:u w:val="single"/>
        </w:rPr>
        <w:t xml:space="preserve">                              </w:t>
      </w:r>
    </w:p>
    <w:p w14:paraId="1BCAB844">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 xml:space="preserve">         </w:t>
      </w:r>
    </w:p>
    <w:p w14:paraId="4B0BC8B1">
      <w:pPr>
        <w:spacing w:line="420" w:lineRule="exact"/>
        <w:ind w:firstLine="480"/>
        <w:jc w:val="left"/>
        <w:rPr>
          <w:rFonts w:hint="eastAsia" w:asciiTheme="minorEastAsia" w:hAnsiTheme="minorEastAsia" w:cstheme="minorEastAsia"/>
          <w:color w:val="000000"/>
          <w:sz w:val="24"/>
        </w:rPr>
      </w:pPr>
    </w:p>
    <w:p w14:paraId="1E1F0CCA">
      <w:pPr>
        <w:spacing w:line="420" w:lineRule="exact"/>
        <w:ind w:firstLine="480"/>
        <w:jc w:val="left"/>
        <w:rPr>
          <w:rFonts w:hint="eastAsia" w:asciiTheme="minorEastAsia" w:hAnsiTheme="minorEastAsia" w:cstheme="minorEastAsia"/>
          <w:color w:val="000000"/>
          <w:sz w:val="24"/>
          <w:u w:val="single"/>
        </w:rPr>
      </w:pPr>
      <w:r>
        <w:rPr>
          <w:rFonts w:hint="eastAsia" w:asciiTheme="minorEastAsia" w:hAnsiTheme="minorEastAsia" w:cstheme="minorEastAsia"/>
          <w:color w:val="000000"/>
          <w:sz w:val="24"/>
        </w:rPr>
        <w:t>供应商名称（加盖公章）：</w:t>
      </w:r>
      <w:r>
        <w:rPr>
          <w:rFonts w:hint="eastAsia" w:asciiTheme="minorEastAsia" w:hAnsiTheme="minorEastAsia" w:cstheme="minorEastAsia"/>
          <w:color w:val="000000"/>
          <w:sz w:val="24"/>
          <w:u w:val="single"/>
        </w:rPr>
        <w:t xml:space="preserve">                              </w:t>
      </w:r>
    </w:p>
    <w:p w14:paraId="283A56BC">
      <w:pPr>
        <w:spacing w:line="42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 xml:space="preserve"> 日       期：</w:t>
      </w:r>
      <w:r>
        <w:rPr>
          <w:rFonts w:hint="eastAsia" w:asciiTheme="minorEastAsia" w:hAnsiTheme="minorEastAsia" w:cstheme="minorEastAsia"/>
          <w:color w:val="000000"/>
          <w:sz w:val="24"/>
          <w:u w:val="single"/>
        </w:rPr>
        <w:t xml:space="preserve">                                      </w:t>
      </w:r>
    </w:p>
    <w:p w14:paraId="611E2A5C">
      <w:pPr>
        <w:spacing w:line="360" w:lineRule="auto"/>
        <w:jc w:val="left"/>
        <w:rPr>
          <w:rFonts w:hint="eastAsia" w:asciiTheme="minorEastAsia" w:hAnsiTheme="minorEastAsia" w:cstheme="minorEastAsia"/>
          <w:b/>
          <w:color w:val="000000"/>
          <w:sz w:val="28"/>
        </w:rPr>
      </w:pPr>
      <w:r>
        <w:rPr>
          <w:rFonts w:hint="eastAsia" w:asciiTheme="minorEastAsia" w:hAnsiTheme="minorEastAsia" w:cstheme="minorEastAsia"/>
          <w:b/>
          <w:color w:val="000000"/>
          <w:sz w:val="28"/>
        </w:rPr>
        <w:t xml:space="preserve"> </w:t>
      </w:r>
    </w:p>
    <w:p w14:paraId="5D4BF0E0">
      <w:pPr>
        <w:spacing w:line="360" w:lineRule="auto"/>
        <w:jc w:val="left"/>
        <w:rPr>
          <w:rFonts w:hint="eastAsia" w:asciiTheme="minorEastAsia" w:hAnsiTheme="minorEastAsia" w:cstheme="minorEastAsia"/>
          <w:b/>
          <w:color w:val="000000"/>
          <w:sz w:val="28"/>
        </w:rPr>
      </w:pPr>
    </w:p>
    <w:p w14:paraId="456498F7">
      <w:pPr>
        <w:spacing w:line="360" w:lineRule="auto"/>
        <w:jc w:val="left"/>
        <w:rPr>
          <w:rFonts w:hint="eastAsia" w:asciiTheme="minorEastAsia" w:hAnsiTheme="minorEastAsia" w:cstheme="minorEastAsia"/>
          <w:b/>
          <w:color w:val="000000"/>
          <w:sz w:val="28"/>
        </w:rPr>
      </w:pPr>
    </w:p>
    <w:p w14:paraId="3F4D2288">
      <w:pPr>
        <w:spacing w:line="360" w:lineRule="auto"/>
        <w:ind w:firstLine="562"/>
        <w:jc w:val="left"/>
        <w:rPr>
          <w:rFonts w:hint="eastAsia" w:asciiTheme="minorEastAsia" w:hAnsiTheme="minorEastAsia" w:cstheme="minorEastAsia"/>
          <w:b/>
          <w:color w:val="000000"/>
          <w:sz w:val="28"/>
        </w:rPr>
      </w:pPr>
      <w:r>
        <w:rPr>
          <w:rFonts w:hint="eastAsia" w:asciiTheme="minorEastAsia" w:hAnsiTheme="minorEastAsia" w:cstheme="minorEastAsia"/>
          <w:b/>
          <w:color w:val="000000"/>
          <w:sz w:val="28"/>
        </w:rPr>
        <w:t>附：授权委托人（即代理人）身份证复印件（加盖供应商公章）或原件扫描件</w:t>
      </w:r>
    </w:p>
    <w:p w14:paraId="0D329D57">
      <w:pPr>
        <w:spacing w:line="360" w:lineRule="auto"/>
        <w:jc w:val="left"/>
        <w:rPr>
          <w:rFonts w:hint="eastAsia" w:asciiTheme="minorEastAsia" w:hAnsiTheme="minorEastAsia" w:cstheme="minorEastAsia"/>
          <w:b/>
          <w:color w:val="000000"/>
          <w:sz w:val="28"/>
        </w:rPr>
      </w:pPr>
    </w:p>
    <w:p w14:paraId="69CAD597">
      <w:pPr>
        <w:pStyle w:val="6"/>
        <w:rPr>
          <w:rFonts w:hint="eastAsia" w:asciiTheme="minorEastAsia" w:hAnsiTheme="minorEastAsia" w:eastAsiaTheme="minorEastAsia" w:cstheme="minorEastAsia"/>
        </w:rPr>
      </w:pPr>
    </w:p>
    <w:p w14:paraId="2570EA88">
      <w:pPr>
        <w:rPr>
          <w:rFonts w:hint="eastAsia" w:asciiTheme="minorEastAsia" w:hAnsiTheme="minorEastAsia" w:cstheme="minorEastAsia"/>
        </w:rPr>
      </w:pPr>
    </w:p>
    <w:p w14:paraId="77E233BA">
      <w:pPr>
        <w:spacing w:line="480" w:lineRule="exact"/>
        <w:jc w:val="center"/>
        <w:rPr>
          <w:rFonts w:hint="eastAsia" w:asciiTheme="minorEastAsia" w:hAnsiTheme="minorEastAsia" w:cstheme="minorEastAsia"/>
          <w:color w:val="000000"/>
          <w:sz w:val="32"/>
        </w:rPr>
      </w:pPr>
      <w:r>
        <w:rPr>
          <w:rFonts w:hint="eastAsia" w:asciiTheme="minorEastAsia" w:hAnsiTheme="minorEastAsia" w:cstheme="minorEastAsia"/>
          <w:b/>
          <w:color w:val="000000"/>
          <w:sz w:val="32"/>
        </w:rPr>
        <w:t>格式三、</w:t>
      </w:r>
      <w:r>
        <w:rPr>
          <w:rFonts w:hint="eastAsia" w:asciiTheme="minorEastAsia" w:hAnsiTheme="minorEastAsia" w:cstheme="minorEastAsia"/>
          <w:b/>
          <w:color w:val="000000"/>
          <w:spacing w:val="-6"/>
          <w:sz w:val="32"/>
        </w:rPr>
        <w:t>投标函格式</w:t>
      </w:r>
    </w:p>
    <w:p w14:paraId="3BE75BFC">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致：如东县人民医院</w:t>
      </w:r>
    </w:p>
    <w:p w14:paraId="35C09E4D">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根据贵方的如东县人民医院个人数字证书采购</w:t>
      </w:r>
      <w:r>
        <w:rPr>
          <w:rFonts w:hint="eastAsia" w:asciiTheme="minorEastAsia" w:hAnsiTheme="minorEastAsia" w:cstheme="minorEastAsia"/>
          <w:color w:val="000000"/>
          <w:sz w:val="24"/>
          <w:lang w:eastAsia="zh-CN"/>
        </w:rPr>
        <w:t>及</w:t>
      </w:r>
      <w:r>
        <w:rPr>
          <w:rFonts w:hint="eastAsia" w:asciiTheme="minorEastAsia" w:hAnsiTheme="minorEastAsia" w:cstheme="minorEastAsia"/>
          <w:color w:val="000000"/>
          <w:sz w:val="24"/>
        </w:rPr>
        <w:t>服务项目采购文件，正式授权下述</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(姓名和职务)代表我方</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（供应商的名称），全权处理本次项目投标的有关事宜。我方现就有关事项郑重承诺如下：</w:t>
      </w:r>
    </w:p>
    <w:p w14:paraId="3985BBF3">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1.按采购文件规定的各项要求，向采购人提供所需货物与服务。</w:t>
      </w:r>
    </w:p>
    <w:p w14:paraId="5A883A29">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2.我方完全理解报价最低并非意味着必定获得中标的资格。</w:t>
      </w:r>
    </w:p>
    <w:p w14:paraId="372C0B6A">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3.我方已详细审核全部采购文件及其有效补充文件（若有），包括投标文件修改书（如有的话）、参考资料及有关附件，确认无误。</w:t>
      </w:r>
    </w:p>
    <w:p w14:paraId="2FBEB727">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4.我方完全理解全部采购文件内容及相关的补充文件（若有），不存在任何误解之处，同意放弃提出异议和质疑的权利。提交响应文件后，不对磋商文件本身提出质疑。否则，属于不诚信和故意扰乱政府采购活动行为，我们将无条件接受处罚。</w:t>
      </w:r>
    </w:p>
    <w:p w14:paraId="42851E3F">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5.我方同意从规定的开标日期起遵循本投标文件，并在规定的投标有效期期满之前均具有约束力。</w:t>
      </w:r>
    </w:p>
    <w:p w14:paraId="07E630E1">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6.如果在开标后规定的投标有效期内撤回投标或中标后拒绝签订合同，我方的投标保证金可被贵方没收。</w:t>
      </w:r>
    </w:p>
    <w:p w14:paraId="24EDE0FC">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7.我方承诺：采购人若需追加采购本项目采购文件所列货物及相关服务的，在不改变合同其他实质性条款的前提下，按相同或更优惠的折扣率保证供货。</w:t>
      </w:r>
    </w:p>
    <w:p w14:paraId="54DCF4B1">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3BA41FA4">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9.一旦我方中标,我方将根据采购文件的规定，严格履行合同的责任和义务,并保证在采购文件规定的时间完成项目，交付采购人验收、使用。我方愿意在签订合同时支付履约保证金，遵守采购文件中要求的收费项目和标准且无任何异议。</w:t>
      </w:r>
    </w:p>
    <w:p w14:paraId="225E9B4A">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如果我方违反上述承诺，或承诺内容不属实，我方愿意承担一切不利的法律后果。</w:t>
      </w:r>
    </w:p>
    <w:p w14:paraId="22782F04">
      <w:pPr>
        <w:spacing w:line="360" w:lineRule="exact"/>
        <w:ind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与本投标有关的正式通讯地址为：</w:t>
      </w:r>
    </w:p>
    <w:p w14:paraId="77B06AB7">
      <w:pPr>
        <w:spacing w:line="360" w:lineRule="exact"/>
        <w:ind w:left="420"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地          址：</w:t>
      </w:r>
    </w:p>
    <w:p w14:paraId="45FAEC83">
      <w:pPr>
        <w:spacing w:line="360" w:lineRule="exact"/>
        <w:ind w:left="420"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电          话：                          传          真：</w:t>
      </w:r>
    </w:p>
    <w:p w14:paraId="46502525">
      <w:pPr>
        <w:spacing w:line="360" w:lineRule="exact"/>
        <w:ind w:left="420"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供应商开户行：</w:t>
      </w:r>
    </w:p>
    <w:p w14:paraId="0BADE831">
      <w:pPr>
        <w:spacing w:line="360" w:lineRule="exact"/>
        <w:ind w:left="420"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 xml:space="preserve">账          户： </w:t>
      </w:r>
    </w:p>
    <w:p w14:paraId="29B15AEC">
      <w:pPr>
        <w:spacing w:line="360" w:lineRule="exact"/>
        <w:ind w:left="420"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 xml:space="preserve">供应商授权委托人姓名（签字）： </w:t>
      </w:r>
    </w:p>
    <w:p w14:paraId="13F9CF47">
      <w:pPr>
        <w:spacing w:line="360" w:lineRule="exact"/>
        <w:ind w:left="420" w:firstLine="48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 xml:space="preserve">供应商名称（加盖公章）： </w:t>
      </w:r>
    </w:p>
    <w:p w14:paraId="71918B77">
      <w:pPr>
        <w:spacing w:line="360" w:lineRule="exact"/>
        <w:jc w:val="left"/>
      </w:pPr>
      <w:r>
        <w:rPr>
          <w:rFonts w:hint="eastAsia" w:asciiTheme="minorEastAsia" w:hAnsiTheme="minorEastAsia" w:cstheme="minorEastAsia"/>
          <w:color w:val="000000"/>
        </w:rPr>
        <w:t xml:space="preserve">        日   期： </w:t>
      </w:r>
      <w:r>
        <w:rPr>
          <w:rFonts w:hint="eastAsia" w:asciiTheme="minorEastAsia" w:hAnsiTheme="minorEastAsia" w:cstheme="minorEastAsia"/>
          <w:color w:val="000000"/>
          <w:u w:val="single"/>
        </w:rPr>
        <w:t xml:space="preserve">       </w:t>
      </w:r>
      <w:r>
        <w:rPr>
          <w:rFonts w:hint="eastAsia" w:asciiTheme="minorEastAsia" w:hAnsiTheme="minorEastAsia" w:cstheme="minorEastAsia"/>
          <w:color w:val="000000"/>
        </w:rPr>
        <w:t>年</w:t>
      </w:r>
      <w:r>
        <w:rPr>
          <w:rFonts w:hint="eastAsia" w:asciiTheme="minorEastAsia" w:hAnsiTheme="minorEastAsia" w:cstheme="minorEastAsia"/>
          <w:color w:val="000000"/>
          <w:u w:val="single"/>
        </w:rPr>
        <w:t xml:space="preserve">       </w:t>
      </w:r>
      <w:r>
        <w:rPr>
          <w:rFonts w:hint="eastAsia" w:asciiTheme="minorEastAsia" w:hAnsiTheme="minorEastAsia" w:cstheme="minorEastAsia"/>
          <w:color w:val="000000"/>
        </w:rPr>
        <w:t>月</w:t>
      </w:r>
      <w:r>
        <w:rPr>
          <w:rFonts w:hint="eastAsia" w:asciiTheme="minorEastAsia" w:hAnsiTheme="minorEastAsia" w:cstheme="minorEastAsia"/>
          <w:color w:val="000000"/>
          <w:u w:val="single"/>
        </w:rPr>
        <w:t xml:space="preserve">        </w:t>
      </w:r>
      <w:r>
        <w:rPr>
          <w:rFonts w:hint="eastAsia" w:asciiTheme="minorEastAsia" w:hAnsiTheme="minorEastAsia" w:cstheme="minorEastAsia"/>
          <w:color w:val="000000"/>
        </w:rPr>
        <w:t xml:space="preserve">日 </w:t>
      </w:r>
      <w:r>
        <w:br w:type="page"/>
      </w:r>
      <w:r>
        <w:rPr>
          <w:b/>
          <w:color w:val="000000"/>
          <w:sz w:val="24"/>
        </w:rPr>
        <w:t xml:space="preserve"> </w:t>
      </w:r>
    </w:p>
    <w:p w14:paraId="77A048AA">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格式四                   </w:t>
      </w:r>
      <w:r>
        <w:rPr>
          <w:rFonts w:hint="eastAsia" w:asciiTheme="minorEastAsia" w:hAnsiTheme="minorEastAsia" w:cstheme="minorEastAsia"/>
          <w:sz w:val="24"/>
          <w:szCs w:val="24"/>
        </w:rPr>
        <w:t>开标一览表</w:t>
      </w:r>
    </w:p>
    <w:tbl>
      <w:tblPr>
        <w:tblStyle w:val="21"/>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859"/>
        <w:gridCol w:w="1143"/>
        <w:gridCol w:w="1285"/>
        <w:gridCol w:w="2145"/>
        <w:gridCol w:w="1562"/>
        <w:gridCol w:w="1603"/>
      </w:tblGrid>
      <w:tr w14:paraId="5CEF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43" w:type="dxa"/>
            <w:vAlign w:val="center"/>
          </w:tcPr>
          <w:p w14:paraId="5B10AC73">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序号</w:t>
            </w:r>
          </w:p>
        </w:tc>
        <w:tc>
          <w:tcPr>
            <w:tcW w:w="1859" w:type="dxa"/>
            <w:vAlign w:val="center"/>
          </w:tcPr>
          <w:p w14:paraId="29B49A03">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1143" w:type="dxa"/>
            <w:vAlign w:val="center"/>
          </w:tcPr>
          <w:p w14:paraId="10851D97">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w:t>
            </w:r>
          </w:p>
        </w:tc>
        <w:tc>
          <w:tcPr>
            <w:tcW w:w="1285" w:type="dxa"/>
            <w:vAlign w:val="center"/>
          </w:tcPr>
          <w:p w14:paraId="5DCCDBAE">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数量</w:t>
            </w:r>
          </w:p>
        </w:tc>
        <w:tc>
          <w:tcPr>
            <w:tcW w:w="2145" w:type="dxa"/>
            <w:vAlign w:val="center"/>
          </w:tcPr>
          <w:p w14:paraId="17149A66">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全费用综合单价（元）</w:t>
            </w:r>
          </w:p>
        </w:tc>
        <w:tc>
          <w:tcPr>
            <w:tcW w:w="1562" w:type="dxa"/>
            <w:vAlign w:val="center"/>
          </w:tcPr>
          <w:p w14:paraId="0C73FC05">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合价（元）</w:t>
            </w:r>
          </w:p>
        </w:tc>
        <w:tc>
          <w:tcPr>
            <w:tcW w:w="1600" w:type="dxa"/>
            <w:vAlign w:val="center"/>
          </w:tcPr>
          <w:p w14:paraId="589811CC">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r>
      <w:tr w14:paraId="1809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143" w:type="dxa"/>
            <w:vAlign w:val="center"/>
          </w:tcPr>
          <w:p w14:paraId="728B88C0">
            <w:pPr>
              <w:jc w:val="center"/>
              <w:rPr>
                <w:rFonts w:hint="eastAsia" w:asciiTheme="minorEastAsia" w:hAnsiTheme="minorEastAsia" w:cstheme="minorEastAsia"/>
                <w:sz w:val="24"/>
                <w:szCs w:val="24"/>
              </w:rPr>
            </w:pPr>
            <w:r>
              <w:rPr>
                <w:rFonts w:hint="eastAsia" w:ascii="宋体" w:hAnsi="宋体" w:eastAsia="宋体"/>
                <w:szCs w:val="21"/>
              </w:rPr>
              <w:t>1</w:t>
            </w:r>
          </w:p>
        </w:tc>
        <w:tc>
          <w:tcPr>
            <w:tcW w:w="1859" w:type="dxa"/>
            <w:vAlign w:val="center"/>
          </w:tcPr>
          <w:p w14:paraId="6E0A3225">
            <w:pPr>
              <w:jc w:val="center"/>
              <w:rPr>
                <w:rFonts w:hint="eastAsia" w:asciiTheme="minorEastAsia" w:hAnsiTheme="minorEastAsia" w:cstheme="minorEastAsia"/>
                <w:sz w:val="24"/>
                <w:szCs w:val="24"/>
              </w:rPr>
            </w:pPr>
            <w:r>
              <w:rPr>
                <w:rFonts w:hint="eastAsia" w:ascii="宋体" w:hAnsi="宋体" w:eastAsia="宋体"/>
                <w:szCs w:val="21"/>
              </w:rPr>
              <w:t>个人数字证书</w:t>
            </w:r>
          </w:p>
        </w:tc>
        <w:tc>
          <w:tcPr>
            <w:tcW w:w="1143" w:type="dxa"/>
            <w:vAlign w:val="center"/>
          </w:tcPr>
          <w:p w14:paraId="1832B426">
            <w:pPr>
              <w:jc w:val="center"/>
              <w:rPr>
                <w:rFonts w:hint="eastAsia" w:asciiTheme="minorEastAsia" w:hAnsiTheme="minorEastAsia" w:cstheme="minorEastAsia"/>
                <w:sz w:val="24"/>
                <w:szCs w:val="24"/>
              </w:rPr>
            </w:pPr>
            <w:r>
              <w:rPr>
                <w:rFonts w:hint="eastAsia" w:ascii="宋体" w:hAnsi="宋体" w:eastAsia="宋体"/>
                <w:szCs w:val="21"/>
              </w:rPr>
              <w:t>人/年</w:t>
            </w:r>
          </w:p>
        </w:tc>
        <w:tc>
          <w:tcPr>
            <w:tcW w:w="1285" w:type="dxa"/>
            <w:vAlign w:val="center"/>
          </w:tcPr>
          <w:p w14:paraId="6C35CF46">
            <w:pPr>
              <w:jc w:val="center"/>
              <w:rPr>
                <w:rFonts w:hint="eastAsia" w:asciiTheme="minorEastAsia" w:hAnsiTheme="minorEastAsia" w:cstheme="minorEastAsia"/>
                <w:sz w:val="24"/>
                <w:szCs w:val="24"/>
              </w:rPr>
            </w:pPr>
            <w:r>
              <w:rPr>
                <w:rFonts w:ascii="宋体" w:hAnsi="宋体" w:eastAsia="宋体"/>
                <w:szCs w:val="21"/>
              </w:rPr>
              <w:t>600</w:t>
            </w:r>
          </w:p>
        </w:tc>
        <w:tc>
          <w:tcPr>
            <w:tcW w:w="2145" w:type="dxa"/>
            <w:vAlign w:val="center"/>
          </w:tcPr>
          <w:p w14:paraId="675D967B">
            <w:pPr>
              <w:jc w:val="center"/>
              <w:rPr>
                <w:rFonts w:hint="eastAsia" w:asciiTheme="minorEastAsia" w:hAnsiTheme="minorEastAsia" w:cstheme="minorEastAsia"/>
                <w:sz w:val="24"/>
                <w:szCs w:val="24"/>
              </w:rPr>
            </w:pPr>
          </w:p>
        </w:tc>
        <w:tc>
          <w:tcPr>
            <w:tcW w:w="1562" w:type="dxa"/>
            <w:vAlign w:val="center"/>
          </w:tcPr>
          <w:p w14:paraId="0C62D5D0">
            <w:pPr>
              <w:jc w:val="center"/>
              <w:rPr>
                <w:rFonts w:hint="eastAsia" w:asciiTheme="minorEastAsia" w:hAnsiTheme="minorEastAsia" w:cstheme="minorEastAsia"/>
                <w:sz w:val="24"/>
                <w:szCs w:val="24"/>
              </w:rPr>
            </w:pPr>
          </w:p>
        </w:tc>
        <w:tc>
          <w:tcPr>
            <w:tcW w:w="1600" w:type="dxa"/>
            <w:vAlign w:val="center"/>
          </w:tcPr>
          <w:p w14:paraId="46B139F8">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tc>
      </w:tr>
      <w:tr w14:paraId="15F4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143" w:type="dxa"/>
            <w:vAlign w:val="center"/>
          </w:tcPr>
          <w:p w14:paraId="04D5AC4D">
            <w:pPr>
              <w:jc w:val="center"/>
              <w:rPr>
                <w:rFonts w:hint="eastAsia" w:asciiTheme="minorEastAsia" w:hAnsiTheme="minorEastAsia" w:cstheme="minorEastAsia"/>
                <w:sz w:val="24"/>
                <w:szCs w:val="24"/>
              </w:rPr>
            </w:pPr>
            <w:r>
              <w:rPr>
                <w:rFonts w:hint="eastAsia" w:ascii="宋体" w:hAnsi="宋体" w:eastAsia="宋体"/>
                <w:szCs w:val="21"/>
              </w:rPr>
              <w:t>2</w:t>
            </w:r>
          </w:p>
        </w:tc>
        <w:tc>
          <w:tcPr>
            <w:tcW w:w="1859" w:type="dxa"/>
            <w:vAlign w:val="center"/>
          </w:tcPr>
          <w:p w14:paraId="143FBCAC">
            <w:pPr>
              <w:jc w:val="center"/>
              <w:rPr>
                <w:rFonts w:hint="eastAsia" w:asciiTheme="minorEastAsia" w:hAnsiTheme="minorEastAsia" w:cstheme="minorEastAsia"/>
                <w:sz w:val="24"/>
                <w:szCs w:val="24"/>
              </w:rPr>
            </w:pPr>
            <w:r>
              <w:rPr>
                <w:rFonts w:hint="eastAsia" w:ascii="宋体" w:hAnsi="宋体" w:eastAsia="宋体"/>
                <w:szCs w:val="21"/>
              </w:rPr>
              <w:t>电子印章制作费</w:t>
            </w:r>
          </w:p>
        </w:tc>
        <w:tc>
          <w:tcPr>
            <w:tcW w:w="1143" w:type="dxa"/>
            <w:vAlign w:val="center"/>
          </w:tcPr>
          <w:p w14:paraId="6C35DCE3">
            <w:pPr>
              <w:jc w:val="center"/>
              <w:rPr>
                <w:rFonts w:hint="eastAsia" w:asciiTheme="minorEastAsia" w:hAnsiTheme="minorEastAsia" w:cstheme="minorEastAsia"/>
                <w:sz w:val="24"/>
                <w:szCs w:val="24"/>
              </w:rPr>
            </w:pPr>
            <w:r>
              <w:rPr>
                <w:rFonts w:hint="eastAsia" w:ascii="宋体" w:hAnsi="宋体" w:eastAsia="宋体"/>
                <w:szCs w:val="21"/>
              </w:rPr>
              <w:t>枚</w:t>
            </w:r>
          </w:p>
        </w:tc>
        <w:tc>
          <w:tcPr>
            <w:tcW w:w="1285" w:type="dxa"/>
            <w:vAlign w:val="center"/>
          </w:tcPr>
          <w:p w14:paraId="6967D877">
            <w:pPr>
              <w:jc w:val="center"/>
              <w:rPr>
                <w:rFonts w:hint="eastAsia" w:asciiTheme="minorEastAsia" w:hAnsiTheme="minorEastAsia" w:cstheme="minorEastAsia"/>
                <w:sz w:val="24"/>
                <w:szCs w:val="24"/>
              </w:rPr>
            </w:pPr>
            <w:r>
              <w:rPr>
                <w:rFonts w:hint="eastAsia" w:ascii="宋体" w:hAnsi="宋体" w:eastAsia="宋体"/>
                <w:szCs w:val="21"/>
              </w:rPr>
              <w:t>6</w:t>
            </w:r>
            <w:r>
              <w:rPr>
                <w:rFonts w:ascii="宋体" w:hAnsi="宋体" w:eastAsia="宋体"/>
                <w:szCs w:val="21"/>
              </w:rPr>
              <w:t>00</w:t>
            </w:r>
          </w:p>
        </w:tc>
        <w:tc>
          <w:tcPr>
            <w:tcW w:w="2145" w:type="dxa"/>
            <w:vAlign w:val="center"/>
          </w:tcPr>
          <w:p w14:paraId="4FE82B91">
            <w:pPr>
              <w:jc w:val="center"/>
              <w:rPr>
                <w:rFonts w:hint="eastAsia" w:asciiTheme="minorEastAsia" w:hAnsiTheme="minorEastAsia" w:cstheme="minorEastAsia"/>
                <w:sz w:val="24"/>
                <w:szCs w:val="24"/>
              </w:rPr>
            </w:pPr>
          </w:p>
        </w:tc>
        <w:tc>
          <w:tcPr>
            <w:tcW w:w="1562" w:type="dxa"/>
            <w:vAlign w:val="center"/>
          </w:tcPr>
          <w:p w14:paraId="18DC2774">
            <w:pPr>
              <w:jc w:val="center"/>
              <w:rPr>
                <w:rFonts w:hint="eastAsia" w:asciiTheme="minorEastAsia" w:hAnsiTheme="minorEastAsia" w:cstheme="minorEastAsia"/>
                <w:sz w:val="24"/>
                <w:szCs w:val="24"/>
              </w:rPr>
            </w:pPr>
          </w:p>
        </w:tc>
        <w:tc>
          <w:tcPr>
            <w:tcW w:w="1600" w:type="dxa"/>
            <w:vAlign w:val="center"/>
          </w:tcPr>
          <w:p w14:paraId="50E25572">
            <w:pPr>
              <w:jc w:val="center"/>
              <w:rPr>
                <w:rFonts w:hint="eastAsia" w:asciiTheme="minorEastAsia" w:hAnsiTheme="minorEastAsia" w:cstheme="minorEastAsia"/>
                <w:sz w:val="24"/>
                <w:szCs w:val="24"/>
              </w:rPr>
            </w:pPr>
          </w:p>
        </w:tc>
      </w:tr>
      <w:tr w14:paraId="0529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0" w:type="dxa"/>
            <w:gridSpan w:val="7"/>
            <w:vAlign w:val="center"/>
          </w:tcPr>
          <w:p w14:paraId="4875B595">
            <w:pPr>
              <w:rPr>
                <w:rFonts w:hint="eastAsia" w:asciiTheme="minorEastAsia" w:hAnsiTheme="minorEastAsia" w:cstheme="minorEastAsia"/>
                <w:sz w:val="24"/>
                <w:szCs w:val="24"/>
                <w:u w:val="single"/>
              </w:rPr>
            </w:pPr>
            <w:r>
              <w:rPr>
                <w:rFonts w:hint="eastAsia" w:asciiTheme="minorEastAsia" w:hAnsiTheme="minorEastAsia" w:cstheme="minorEastAsia"/>
                <w:sz w:val="24"/>
                <w:szCs w:val="24"/>
              </w:rPr>
              <w:t xml:space="preserve">投标报价，（大写）： </w:t>
            </w:r>
            <w:r>
              <w:rPr>
                <w:rFonts w:hint="eastAsia" w:asciiTheme="minorEastAsia" w:hAnsiTheme="minorEastAsia" w:cstheme="minorEastAsia"/>
                <w:sz w:val="24"/>
                <w:szCs w:val="24"/>
                <w:u w:val="single"/>
              </w:rPr>
              <w:t xml:space="preserve">                     </w:t>
            </w:r>
          </w:p>
          <w:p w14:paraId="66C3EB5F">
            <w:pPr>
              <w:ind w:firstLine="1200" w:firstLineChars="5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（小写）： </w:t>
            </w:r>
            <w:r>
              <w:rPr>
                <w:rFonts w:hint="eastAsia" w:asciiTheme="minorEastAsia" w:hAnsiTheme="minorEastAsia" w:cstheme="minorEastAsia"/>
                <w:sz w:val="24"/>
                <w:szCs w:val="24"/>
                <w:u w:val="single"/>
              </w:rPr>
              <w:t xml:space="preserve">                     </w:t>
            </w:r>
          </w:p>
        </w:tc>
      </w:tr>
    </w:tbl>
    <w:p w14:paraId="22EC6AD8">
      <w:pPr>
        <w:pStyle w:val="17"/>
        <w:adjustRightInd w:val="0"/>
        <w:snapToGrid w:val="0"/>
        <w:rPr>
          <w:rFonts w:hint="eastAsia" w:asciiTheme="minorEastAsia" w:hAnsiTheme="minorEastAsia" w:eastAsiaTheme="minorEastAsia" w:cstheme="minorEastAsia"/>
          <w:sz w:val="21"/>
          <w:szCs w:val="21"/>
        </w:rPr>
      </w:pPr>
    </w:p>
    <w:p w14:paraId="62CB9CB6">
      <w:pPr>
        <w:pStyle w:val="17"/>
        <w:adjustRightInd w:val="0"/>
        <w:snapToGrid w:val="0"/>
        <w:rPr>
          <w:rFonts w:hint="eastAsia" w:asciiTheme="minorEastAsia" w:hAnsiTheme="minorEastAsia" w:eastAsiaTheme="minorEastAsia" w:cstheme="minorEastAsia"/>
          <w:sz w:val="21"/>
          <w:szCs w:val="21"/>
        </w:rPr>
      </w:pPr>
    </w:p>
    <w:p w14:paraId="3847CD75">
      <w:pPr>
        <w:spacing w:line="360"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投标人名称（加盖公章）：</w:t>
      </w:r>
      <w:r>
        <w:rPr>
          <w:rFonts w:hint="eastAsia" w:asciiTheme="minorEastAsia" w:hAnsiTheme="minorEastAsia" w:cstheme="minorEastAsia"/>
          <w:color w:val="000000"/>
          <w:sz w:val="24"/>
          <w:szCs w:val="24"/>
          <w:u w:val="single"/>
        </w:rPr>
        <w:t xml:space="preserve">  （自然人投标无需盖章）   </w:t>
      </w:r>
    </w:p>
    <w:p w14:paraId="35A1C517">
      <w:pPr>
        <w:spacing w:line="320" w:lineRule="exact"/>
        <w:ind w:firstLine="562"/>
        <w:jc w:val="left"/>
        <w:rPr>
          <w:rFonts w:hint="eastAsia" w:asciiTheme="minorEastAsia" w:hAnsiTheme="minorEastAsia" w:cstheme="minorEastAsia"/>
          <w:color w:val="000000"/>
          <w:sz w:val="24"/>
          <w:szCs w:val="24"/>
        </w:rPr>
      </w:pPr>
    </w:p>
    <w:p w14:paraId="1A12D70E">
      <w:pPr>
        <w:spacing w:line="360" w:lineRule="auto"/>
        <w:jc w:val="left"/>
        <w:rPr>
          <w:rFonts w:hint="eastAsia"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法定代表人或经营者或其授权委托人(签字或盖章)：</w:t>
      </w:r>
      <w:r>
        <w:rPr>
          <w:rFonts w:hint="eastAsia" w:asciiTheme="minorEastAsia" w:hAnsiTheme="minorEastAsia" w:cstheme="minorEastAsia"/>
          <w:color w:val="000000"/>
          <w:sz w:val="24"/>
          <w:szCs w:val="24"/>
          <w:u w:val="single"/>
        </w:rPr>
        <w:t xml:space="preserve">  （自然人投标仅须签字）   </w:t>
      </w:r>
    </w:p>
    <w:p w14:paraId="5FD0E370">
      <w:pPr>
        <w:pStyle w:val="17"/>
        <w:adjustRightInd w:val="0"/>
        <w:snapToGrid w:val="0"/>
        <w:spacing w:line="360" w:lineRule="auto"/>
        <w:ind w:left="1026" w:firstLine="5520" w:firstLineChars="2300"/>
        <w:rPr>
          <w:rFonts w:hint="eastAsia" w:asciiTheme="minorEastAsia" w:hAnsiTheme="minorEastAsia" w:eastAsiaTheme="minorEastAsia" w:cstheme="minorEastAsia"/>
          <w:szCs w:val="24"/>
        </w:rPr>
      </w:pPr>
    </w:p>
    <w:p w14:paraId="6BB23818">
      <w:pPr>
        <w:pStyle w:val="17"/>
        <w:adjustRightInd w:val="0"/>
        <w:snapToGrid w:val="0"/>
        <w:spacing w:line="360" w:lineRule="auto"/>
        <w:ind w:left="1026" w:firstLine="3840" w:firstLineChars="16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日期：</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w:t>
      </w:r>
    </w:p>
    <w:p w14:paraId="2F1EECF4">
      <w:pPr>
        <w:spacing w:line="360" w:lineRule="auto"/>
        <w:ind w:left="945" w:leftChars="-85" w:hanging="1123" w:hangingChars="466"/>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注：①本报价一览表须打印填列，报价可保留二位小数，本报价为非最终报价。</w:t>
      </w:r>
    </w:p>
    <w:p w14:paraId="50750669">
      <w:pPr>
        <w:spacing w:line="360" w:lineRule="auto"/>
        <w:ind w:left="178" w:leftChars="85" w:firstLine="67" w:firstLineChars="28"/>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②本项目采购预算价为人民币</w:t>
      </w:r>
      <w:r>
        <w:rPr>
          <w:rFonts w:hint="eastAsia" w:asciiTheme="minorEastAsia" w:hAnsiTheme="minorEastAsia" w:cstheme="minorEastAsia"/>
          <w:b/>
          <w:bCs/>
          <w:sz w:val="24"/>
          <w:szCs w:val="24"/>
          <w:u w:val="single"/>
        </w:rPr>
        <w:t xml:space="preserve">      </w:t>
      </w:r>
      <w:r>
        <w:rPr>
          <w:rFonts w:hint="eastAsia" w:asciiTheme="minorEastAsia" w:hAnsiTheme="minorEastAsia" w:cstheme="minorEastAsia"/>
          <w:b/>
          <w:bCs/>
          <w:sz w:val="24"/>
          <w:szCs w:val="24"/>
          <w:u w:val="single"/>
          <w:lang w:val="en-US" w:eastAsia="zh-CN"/>
        </w:rPr>
        <w:t>66000元</w:t>
      </w:r>
      <w:r>
        <w:rPr>
          <w:rFonts w:hint="eastAsia" w:asciiTheme="minorEastAsia" w:hAnsiTheme="minorEastAsia" w:cstheme="minorEastAsia"/>
          <w:b/>
          <w:bCs/>
          <w:sz w:val="24"/>
          <w:szCs w:val="24"/>
          <w:u w:val="single"/>
        </w:rPr>
        <w:t xml:space="preserve">    </w:t>
      </w:r>
      <w:r>
        <w:rPr>
          <w:rFonts w:hint="eastAsia" w:asciiTheme="minorEastAsia" w:hAnsiTheme="minorEastAsia" w:cstheme="minorEastAsia"/>
          <w:b/>
          <w:bCs/>
          <w:sz w:val="24"/>
          <w:szCs w:val="24"/>
        </w:rPr>
        <w:t>整，本报价明细表中投标人的投标报价不得超过采购预算价，否则对超过采购预算价的按无效投标处理。</w:t>
      </w:r>
    </w:p>
    <w:p w14:paraId="3483C5B5">
      <w:pPr>
        <w:spacing w:line="360" w:lineRule="auto"/>
        <w:ind w:left="178" w:leftChars="85" w:firstLine="67" w:firstLineChars="28"/>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③合价=全费用综合单价*数量，合价等于投标报价。</w:t>
      </w:r>
    </w:p>
    <w:p w14:paraId="3E44893F">
      <w:pPr>
        <w:pStyle w:val="6"/>
        <w:rPr>
          <w:rFonts w:hint="eastAsia" w:asciiTheme="minorEastAsia" w:hAnsiTheme="minorEastAsia" w:eastAsiaTheme="minorEastAsia" w:cstheme="minorEastAsia"/>
        </w:rPr>
      </w:pPr>
    </w:p>
    <w:p w14:paraId="6651FD37"/>
    <w:p w14:paraId="726C242F">
      <w:pPr>
        <w:pStyle w:val="6"/>
      </w:pPr>
    </w:p>
    <w:p w14:paraId="39B50CEB"/>
    <w:p w14:paraId="71BD784C"/>
    <w:p w14:paraId="0CBCEF27">
      <w:pPr>
        <w:pStyle w:val="17"/>
        <w:adjustRightInd w:val="0"/>
        <w:snapToGrid w:val="0"/>
        <w:spacing w:line="360" w:lineRule="auto"/>
        <w:ind w:left="1026" w:firstLine="3855" w:firstLineChars="1600"/>
        <w:rPr>
          <w:b/>
          <w:bCs/>
          <w:szCs w:val="24"/>
          <w:u w:color="00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9A38">
    <w:pPr>
      <w:tabs>
        <w:tab w:val="center" w:pos="4153"/>
        <w:tab w:val="right" w:pos="8306"/>
      </w:tabs>
      <w:snapToGrid w:val="0"/>
      <w:jc w:val="left"/>
      <w:rPr>
        <w:rFonts w:ascii="Calibri" w:hAnsi="Calibr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08C5F"/>
    <w:multiLevelType w:val="singleLevel"/>
    <w:tmpl w:val="C2308C5F"/>
    <w:lvl w:ilvl="0" w:tentative="0">
      <w:start w:val="1"/>
      <w:numFmt w:val="decimal"/>
      <w:lvlText w:val="%1."/>
      <w:lvlJc w:val="left"/>
      <w:pPr>
        <w:tabs>
          <w:tab w:val="left" w:pos="312"/>
        </w:tabs>
        <w:ind w:left="-880"/>
      </w:pPr>
    </w:lvl>
  </w:abstractNum>
  <w:abstractNum w:abstractNumId="1">
    <w:nsid w:val="2958D605"/>
    <w:multiLevelType w:val="singleLevel"/>
    <w:tmpl w:val="2958D605"/>
    <w:lvl w:ilvl="0" w:tentative="0">
      <w:start w:val="1"/>
      <w:numFmt w:val="chineseCounting"/>
      <w:suff w:val="nothing"/>
      <w:lvlText w:val="%1、"/>
      <w:lvlJc w:val="left"/>
      <w:rPr>
        <w:rFonts w:hint="eastAsia" w:cs="Times New Roman"/>
      </w:rPr>
    </w:lvl>
  </w:abstractNum>
  <w:abstractNum w:abstractNumId="2">
    <w:nsid w:val="5AEB3C9C"/>
    <w:multiLevelType w:val="singleLevel"/>
    <w:tmpl w:val="5AEB3C9C"/>
    <w:lvl w:ilvl="0" w:tentative="0">
      <w:start w:val="1"/>
      <w:numFmt w:val="bullet"/>
      <w:lvlText w:val=""/>
      <w:lvlJc w:val="left"/>
      <w:pPr>
        <w:ind w:left="480" w:hanging="480"/>
      </w:pPr>
      <w:rPr>
        <w:rFonts w:hint="default" w:ascii="Wingdings" w:hAnsi="Wingdings"/>
      </w:rPr>
    </w:lvl>
  </w:abstractNum>
  <w:abstractNum w:abstractNumId="3">
    <w:nsid w:val="71010A0F"/>
    <w:multiLevelType w:val="multilevel"/>
    <w:tmpl w:val="71010A0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00931232"/>
    <w:rsid w:val="00052F77"/>
    <w:rsid w:val="000609A6"/>
    <w:rsid w:val="00062617"/>
    <w:rsid w:val="0006293A"/>
    <w:rsid w:val="00085DC5"/>
    <w:rsid w:val="000C40AF"/>
    <w:rsid w:val="000F2E71"/>
    <w:rsid w:val="00136D15"/>
    <w:rsid w:val="0019056B"/>
    <w:rsid w:val="001E4A0D"/>
    <w:rsid w:val="00207FD5"/>
    <w:rsid w:val="002E07EF"/>
    <w:rsid w:val="0031527A"/>
    <w:rsid w:val="0036610C"/>
    <w:rsid w:val="003D145E"/>
    <w:rsid w:val="00450CCA"/>
    <w:rsid w:val="0048402D"/>
    <w:rsid w:val="004C2BF1"/>
    <w:rsid w:val="00504121"/>
    <w:rsid w:val="005067E4"/>
    <w:rsid w:val="005833C0"/>
    <w:rsid w:val="005A605D"/>
    <w:rsid w:val="00670DE1"/>
    <w:rsid w:val="00671394"/>
    <w:rsid w:val="00681C44"/>
    <w:rsid w:val="006D5EB2"/>
    <w:rsid w:val="0070467C"/>
    <w:rsid w:val="00726F0D"/>
    <w:rsid w:val="00753F0C"/>
    <w:rsid w:val="0077052D"/>
    <w:rsid w:val="007A1FEA"/>
    <w:rsid w:val="007A4E51"/>
    <w:rsid w:val="007B71F2"/>
    <w:rsid w:val="007F1B7E"/>
    <w:rsid w:val="008613FA"/>
    <w:rsid w:val="008C27BC"/>
    <w:rsid w:val="008D67B0"/>
    <w:rsid w:val="00914B2E"/>
    <w:rsid w:val="00931232"/>
    <w:rsid w:val="00956946"/>
    <w:rsid w:val="009641B6"/>
    <w:rsid w:val="009B5168"/>
    <w:rsid w:val="009C63D7"/>
    <w:rsid w:val="009C7B87"/>
    <w:rsid w:val="009D4D02"/>
    <w:rsid w:val="00A12BB6"/>
    <w:rsid w:val="00AA04E2"/>
    <w:rsid w:val="00AD5F0F"/>
    <w:rsid w:val="00B8346C"/>
    <w:rsid w:val="00BA2156"/>
    <w:rsid w:val="00BD5625"/>
    <w:rsid w:val="00BE5C6D"/>
    <w:rsid w:val="00C153BF"/>
    <w:rsid w:val="00C258C2"/>
    <w:rsid w:val="00C33E69"/>
    <w:rsid w:val="00C61475"/>
    <w:rsid w:val="00C83DCB"/>
    <w:rsid w:val="00CB56BC"/>
    <w:rsid w:val="00CC1C48"/>
    <w:rsid w:val="00D10C83"/>
    <w:rsid w:val="00DA32A8"/>
    <w:rsid w:val="00DA7415"/>
    <w:rsid w:val="00E0299B"/>
    <w:rsid w:val="00E10C9D"/>
    <w:rsid w:val="00F14B2D"/>
    <w:rsid w:val="00F169AA"/>
    <w:rsid w:val="00F25DF9"/>
    <w:rsid w:val="00F46445"/>
    <w:rsid w:val="00FB35C1"/>
    <w:rsid w:val="00FD1E1D"/>
    <w:rsid w:val="00FD5813"/>
    <w:rsid w:val="03522419"/>
    <w:rsid w:val="040C2B36"/>
    <w:rsid w:val="0A2B3FA5"/>
    <w:rsid w:val="0BB56409"/>
    <w:rsid w:val="0BF707F7"/>
    <w:rsid w:val="0ECC513B"/>
    <w:rsid w:val="0F44355D"/>
    <w:rsid w:val="0FB81855"/>
    <w:rsid w:val="16B34B25"/>
    <w:rsid w:val="17532656"/>
    <w:rsid w:val="17AF07BB"/>
    <w:rsid w:val="1BD96DDB"/>
    <w:rsid w:val="1E200CF1"/>
    <w:rsid w:val="207459C4"/>
    <w:rsid w:val="20FF3D83"/>
    <w:rsid w:val="2196789E"/>
    <w:rsid w:val="25072C0B"/>
    <w:rsid w:val="25CE3309"/>
    <w:rsid w:val="276C6F54"/>
    <w:rsid w:val="27826579"/>
    <w:rsid w:val="28A6173F"/>
    <w:rsid w:val="29EC3C37"/>
    <w:rsid w:val="2B3B716B"/>
    <w:rsid w:val="2C7D21CA"/>
    <w:rsid w:val="2EE203F7"/>
    <w:rsid w:val="2F081A65"/>
    <w:rsid w:val="2FE14059"/>
    <w:rsid w:val="30110437"/>
    <w:rsid w:val="32C75788"/>
    <w:rsid w:val="33727649"/>
    <w:rsid w:val="35373180"/>
    <w:rsid w:val="360B7579"/>
    <w:rsid w:val="379E7D3E"/>
    <w:rsid w:val="38673151"/>
    <w:rsid w:val="38B172F5"/>
    <w:rsid w:val="39FB4EF7"/>
    <w:rsid w:val="3BB15227"/>
    <w:rsid w:val="3EB75B7A"/>
    <w:rsid w:val="3F307117"/>
    <w:rsid w:val="3F4C14EF"/>
    <w:rsid w:val="428D5C21"/>
    <w:rsid w:val="42A653BA"/>
    <w:rsid w:val="42B0448A"/>
    <w:rsid w:val="432C2751"/>
    <w:rsid w:val="43AF64F0"/>
    <w:rsid w:val="47CB141F"/>
    <w:rsid w:val="48774C97"/>
    <w:rsid w:val="4E4F68D0"/>
    <w:rsid w:val="52631524"/>
    <w:rsid w:val="52B96A43"/>
    <w:rsid w:val="5721105B"/>
    <w:rsid w:val="585E4FD2"/>
    <w:rsid w:val="588C0756"/>
    <w:rsid w:val="59943D66"/>
    <w:rsid w:val="5AB0567C"/>
    <w:rsid w:val="5B963D9F"/>
    <w:rsid w:val="5F426DC4"/>
    <w:rsid w:val="604025A1"/>
    <w:rsid w:val="64B81FCE"/>
    <w:rsid w:val="64C74062"/>
    <w:rsid w:val="67265B31"/>
    <w:rsid w:val="68F5069F"/>
    <w:rsid w:val="699C23A9"/>
    <w:rsid w:val="6B0B04A2"/>
    <w:rsid w:val="6B986BC9"/>
    <w:rsid w:val="6BD149A6"/>
    <w:rsid w:val="6F1B67CB"/>
    <w:rsid w:val="6F974076"/>
    <w:rsid w:val="711544CE"/>
    <w:rsid w:val="72217278"/>
    <w:rsid w:val="725F24FB"/>
    <w:rsid w:val="74CB7FFF"/>
    <w:rsid w:val="78F86228"/>
    <w:rsid w:val="794F33AE"/>
    <w:rsid w:val="79915775"/>
    <w:rsid w:val="7C3F0912"/>
    <w:rsid w:val="7D4A0A5C"/>
    <w:rsid w:val="7E9A331D"/>
    <w:rsid w:val="7F3247DE"/>
    <w:rsid w:val="7FBF2FB6"/>
    <w:rsid w:val="7FF802FC"/>
    <w:rsid w:val="F7BFE8F4"/>
    <w:rsid w:val="FDECEEEF"/>
    <w:rsid w:val="FFF7D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name="Body Text First Indent"/>
    <w:lsdException w:qFormat="1" w:unhideWhenUsed="0" w:uiPriority="0" w:semiHidden="0" w:name="Body Text First Indent 2"/>
    <w:lsdException w:uiPriority="0" w:name="Note Heading"/>
    <w:lsdException w:qFormat="1" w:uiPriority="0" w:semiHidden="0" w:name="Body Text 2"/>
    <w:lsdException w:uiPriority="0" w:name="Body Text 3"/>
    <w:lsdException w:uiPriority="0" w:name="Body Text Indent 2"/>
    <w:lsdException w:uiPriority="0" w:name="Body Text Indent 3"/>
    <w:lsdException w:qFormat="1" w:unhideWhenUsed="0" w:uiPriority="6"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autoRedefine/>
    <w:qFormat/>
    <w:uiPriority w:val="0"/>
    <w:pPr>
      <w:keepNext/>
      <w:keepLines/>
      <w:spacing w:line="456" w:lineRule="auto"/>
      <w:outlineLvl w:val="0"/>
    </w:pPr>
    <w:rPr>
      <w:rFonts w:ascii="Times New Roman" w:hAnsi="Times New Roman" w:eastAsia="宋体" w:cs="Times New Roman"/>
      <w:b/>
      <w:bCs/>
      <w:kern w:val="44"/>
      <w:sz w:val="28"/>
      <w:szCs w:val="44"/>
    </w:rPr>
  </w:style>
  <w:style w:type="paragraph" w:styleId="5">
    <w:name w:val="heading 2"/>
    <w:basedOn w:val="1"/>
    <w:next w:val="1"/>
    <w:link w:val="30"/>
    <w:unhideWhenUsed/>
    <w:qFormat/>
    <w:uiPriority w:val="0"/>
    <w:pPr>
      <w:keepNext/>
      <w:keepLines/>
      <w:spacing w:before="100" w:after="100" w:line="360" w:lineRule="auto"/>
      <w:outlineLvl w:val="1"/>
    </w:pPr>
    <w:rPr>
      <w:rFonts w:ascii="Arial" w:hAnsi="Arial" w:eastAsia="宋体" w:cs="Arial"/>
      <w:b/>
      <w:bCs/>
      <w:sz w:val="30"/>
      <w:szCs w:val="32"/>
    </w:rPr>
  </w:style>
  <w:style w:type="paragraph" w:styleId="6">
    <w:name w:val="heading 4"/>
    <w:basedOn w:val="1"/>
    <w:next w:val="1"/>
    <w:autoRedefine/>
    <w:qFormat/>
    <w:uiPriority w:val="9"/>
    <w:pPr>
      <w:keepNext/>
      <w:keepLines/>
      <w:spacing w:before="280" w:after="290" w:line="372"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907"/>
      </w:tabs>
      <w:snapToGrid w:val="0"/>
      <w:spacing w:line="300" w:lineRule="auto"/>
      <w:ind w:firstLine="420" w:firstLineChars="200"/>
    </w:pPr>
    <w:rPr>
      <w:rFonts w:ascii="Times New Roman" w:hAnsi="Times New Roman"/>
      <w:w w:val="80"/>
      <w:sz w:val="20"/>
      <w:szCs w:val="20"/>
    </w:rPr>
  </w:style>
  <w:style w:type="paragraph" w:styleId="3">
    <w:name w:val="Body Text Indent"/>
    <w:basedOn w:val="1"/>
    <w:qFormat/>
    <w:uiPriority w:val="0"/>
    <w:pPr>
      <w:spacing w:after="120"/>
      <w:ind w:left="420" w:leftChars="200"/>
    </w:pPr>
  </w:style>
  <w:style w:type="paragraph" w:styleId="7">
    <w:name w:val="Normal Indent"/>
    <w:basedOn w:val="1"/>
    <w:autoRedefine/>
    <w:qFormat/>
    <w:uiPriority w:val="0"/>
    <w:pPr>
      <w:ind w:firstLine="420" w:firstLineChars="200"/>
    </w:pPr>
  </w:style>
  <w:style w:type="paragraph" w:styleId="8">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9">
    <w:name w:val="annotation text"/>
    <w:basedOn w:val="1"/>
    <w:link w:val="43"/>
    <w:autoRedefine/>
    <w:semiHidden/>
    <w:unhideWhenUsed/>
    <w:qFormat/>
    <w:uiPriority w:val="99"/>
    <w:pPr>
      <w:autoSpaceDE w:val="0"/>
      <w:autoSpaceDN w:val="0"/>
      <w:jc w:val="left"/>
    </w:pPr>
    <w:rPr>
      <w:rFonts w:ascii="宋体" w:hAnsi="宋体" w:eastAsia="宋体" w:cs="宋体"/>
      <w:kern w:val="0"/>
      <w:sz w:val="22"/>
      <w:lang w:val="zh-CN" w:bidi="zh-CN"/>
    </w:rPr>
  </w:style>
  <w:style w:type="paragraph" w:styleId="10">
    <w:name w:val="Body Text"/>
    <w:basedOn w:val="1"/>
    <w:next w:val="1"/>
    <w:autoRedefine/>
    <w:qFormat/>
    <w:uiPriority w:val="1"/>
    <w:pPr>
      <w:spacing w:before="124"/>
      <w:ind w:left="4462"/>
    </w:pPr>
    <w:rPr>
      <w:sz w:val="18"/>
      <w:szCs w:val="18"/>
    </w:rPr>
  </w:style>
  <w:style w:type="paragraph" w:styleId="11">
    <w:name w:val="Block Text"/>
    <w:basedOn w:val="1"/>
    <w:qFormat/>
    <w:uiPriority w:val="6"/>
    <w:pPr>
      <w:autoSpaceDE w:val="0"/>
      <w:autoSpaceDN w:val="0"/>
      <w:adjustRightInd w:val="0"/>
      <w:ind w:left="256" w:right="6" w:firstLine="624" w:firstLineChars="200"/>
    </w:pPr>
    <w:rPr>
      <w:rFonts w:eastAsia="仿宋_GB2312"/>
      <w:sz w:val="28"/>
      <w:szCs w:val="20"/>
    </w:rPr>
  </w:style>
  <w:style w:type="paragraph" w:styleId="12">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3">
    <w:name w:val="footer"/>
    <w:basedOn w:val="1"/>
    <w:link w:val="39"/>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Body Text 2"/>
    <w:basedOn w:val="1"/>
    <w:autoRedefine/>
    <w:unhideWhenUsed/>
    <w:qFormat/>
    <w:uiPriority w:val="0"/>
    <w:pPr>
      <w:jc w:val="center"/>
    </w:pPr>
    <w:rPr>
      <w:rFonts w:ascii="Times New Roman" w:hAnsi="Times New Roman" w:eastAsia="楷体_GB2312" w:cs="Times New Roman"/>
      <w:kern w:val="0"/>
      <w:sz w:val="20"/>
      <w:szCs w:val="24"/>
    </w:rPr>
  </w:style>
  <w:style w:type="paragraph" w:styleId="17">
    <w:name w:val="Normal (Web)"/>
    <w:basedOn w:val="1"/>
    <w:autoRedefine/>
    <w:unhideWhenUsed/>
    <w:qFormat/>
    <w:uiPriority w:val="0"/>
    <w:pPr>
      <w:widowControl/>
      <w:wordWrap w:val="0"/>
      <w:ind w:left="1024"/>
    </w:pPr>
    <w:rPr>
      <w:rFonts w:ascii="Times New Roman" w:hAnsi="Times New Roman" w:eastAsia="宋体" w:cs="Times New Roman"/>
      <w:kern w:val="0"/>
      <w:sz w:val="24"/>
      <w:szCs w:val="20"/>
    </w:rPr>
  </w:style>
  <w:style w:type="paragraph" w:styleId="18">
    <w:name w:val="Title"/>
    <w:basedOn w:val="1"/>
    <w:next w:val="1"/>
    <w:autoRedefine/>
    <w:qFormat/>
    <w:uiPriority w:val="0"/>
    <w:pPr>
      <w:spacing w:before="240" w:after="60"/>
      <w:jc w:val="center"/>
      <w:outlineLvl w:val="0"/>
    </w:pPr>
    <w:rPr>
      <w:rFonts w:ascii="等线 Light" w:hAnsi="等线 Light" w:cs="Times New Roman"/>
      <w:b/>
      <w:bCs/>
      <w:sz w:val="32"/>
      <w:szCs w:val="32"/>
    </w:rPr>
  </w:style>
  <w:style w:type="paragraph" w:styleId="19">
    <w:name w:val="annotation subject"/>
    <w:basedOn w:val="9"/>
    <w:next w:val="9"/>
    <w:link w:val="44"/>
    <w:autoRedefine/>
    <w:semiHidden/>
    <w:unhideWhenUsed/>
    <w:qFormat/>
    <w:uiPriority w:val="0"/>
    <w:pPr>
      <w:autoSpaceDE/>
      <w:autoSpaceDN/>
    </w:pPr>
    <w:rPr>
      <w:rFonts w:asciiTheme="minorHAnsi" w:hAnsiTheme="minorHAnsi" w:eastAsiaTheme="minorEastAsia" w:cstheme="minorBidi"/>
      <w:b/>
      <w:bCs/>
      <w:kern w:val="2"/>
      <w:sz w:val="21"/>
      <w:lang w:val="en-US" w:bidi="ar-SA"/>
    </w:rPr>
  </w:style>
  <w:style w:type="paragraph" w:styleId="20">
    <w:name w:val="Body Text First Indent"/>
    <w:basedOn w:val="10"/>
    <w:semiHidden/>
    <w:unhideWhenUsed/>
    <w:qFormat/>
    <w:uiPriority w:val="99"/>
    <w:pPr>
      <w:ind w:firstLine="420" w:firstLineChars="100"/>
    </w:pPr>
  </w:style>
  <w:style w:type="character" w:styleId="23">
    <w:name w:val="Strong"/>
    <w:basedOn w:val="22"/>
    <w:autoRedefine/>
    <w:qFormat/>
    <w:uiPriority w:val="0"/>
    <w:rPr>
      <w:b/>
    </w:rPr>
  </w:style>
  <w:style w:type="character" w:styleId="24">
    <w:name w:val="annotation reference"/>
    <w:basedOn w:val="22"/>
    <w:autoRedefine/>
    <w:semiHidden/>
    <w:unhideWhenUsed/>
    <w:qFormat/>
    <w:uiPriority w:val="0"/>
    <w:rPr>
      <w:sz w:val="21"/>
      <w:szCs w:val="21"/>
    </w:rPr>
  </w:style>
  <w:style w:type="paragraph" w:customStyle="1" w:styleId="25">
    <w:name w:val="footer1"/>
    <w:basedOn w:val="26"/>
    <w:autoRedefine/>
    <w:qFormat/>
    <w:uiPriority w:val="0"/>
    <w:pPr>
      <w:tabs>
        <w:tab w:val="center" w:pos="4153"/>
        <w:tab w:val="right" w:pos="8306"/>
      </w:tabs>
      <w:snapToGrid w:val="0"/>
      <w:jc w:val="left"/>
    </w:pPr>
    <w:rPr>
      <w:sz w:val="18"/>
    </w:rPr>
  </w:style>
  <w:style w:type="paragraph" w:customStyle="1" w:styleId="26">
    <w:name w:val="正文111"/>
    <w:next w:val="27"/>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标题 41"/>
    <w:basedOn w:val="28"/>
    <w:next w:val="26"/>
    <w:autoRedefine/>
    <w:qFormat/>
    <w:uiPriority w:val="0"/>
    <w:pPr>
      <w:keepNext/>
      <w:keepLines/>
      <w:spacing w:before="280" w:after="290" w:line="372" w:lineRule="auto"/>
      <w:outlineLvl w:val="3"/>
    </w:pPr>
    <w:rPr>
      <w:rFonts w:ascii="Cambria" w:hAnsi="Cambria"/>
      <w:b/>
      <w:bCs/>
      <w:sz w:val="28"/>
      <w:szCs w:val="28"/>
    </w:rPr>
  </w:style>
  <w:style w:type="paragraph" w:customStyle="1" w:styleId="28">
    <w:name w:val="正文11"/>
    <w:next w:val="25"/>
    <w:autoRedefine/>
    <w:qFormat/>
    <w:uiPriority w:val="0"/>
    <w:pPr>
      <w:spacing w:line="856" w:lineRule="atLeast"/>
      <w:jc w:val="both"/>
    </w:pPr>
    <w:rPr>
      <w:rFonts w:ascii="Times New Roman" w:hAnsi="Times New Roman" w:eastAsia="宋体" w:cs="Times New Roman"/>
      <w:color w:val="000000"/>
      <w:sz w:val="21"/>
      <w:lang w:val="en-US" w:eastAsia="zh-CN" w:bidi="ar-SA"/>
    </w:rPr>
  </w:style>
  <w:style w:type="character" w:customStyle="1" w:styleId="29">
    <w:name w:val="标题 1 字符"/>
    <w:basedOn w:val="22"/>
    <w:link w:val="4"/>
    <w:autoRedefine/>
    <w:qFormat/>
    <w:uiPriority w:val="0"/>
    <w:rPr>
      <w:rFonts w:ascii="Times New Roman" w:hAnsi="Times New Roman" w:eastAsia="宋体" w:cs="Times New Roman"/>
      <w:b/>
      <w:bCs/>
      <w:kern w:val="44"/>
      <w:sz w:val="28"/>
      <w:szCs w:val="44"/>
    </w:rPr>
  </w:style>
  <w:style w:type="character" w:customStyle="1" w:styleId="30">
    <w:name w:val="标题 2 字符"/>
    <w:basedOn w:val="22"/>
    <w:link w:val="5"/>
    <w:autoRedefine/>
    <w:qFormat/>
    <w:uiPriority w:val="0"/>
    <w:rPr>
      <w:rFonts w:ascii="Arial" w:hAnsi="Arial" w:eastAsia="宋体" w:cs="Arial"/>
      <w:b/>
      <w:bCs/>
      <w:kern w:val="2"/>
      <w:sz w:val="30"/>
      <w:szCs w:val="32"/>
    </w:rPr>
  </w:style>
  <w:style w:type="paragraph" w:customStyle="1" w:styleId="31">
    <w:name w:val="纯文本1"/>
    <w:basedOn w:val="1"/>
    <w:autoRedefine/>
    <w:qFormat/>
    <w:uiPriority w:val="0"/>
    <w:pPr>
      <w:adjustRightInd w:val="0"/>
      <w:textAlignment w:val="baseline"/>
    </w:pPr>
    <w:rPr>
      <w:rFonts w:ascii="宋体" w:hAnsi="Courier New" w:eastAsia="楷体_GB2312"/>
      <w:sz w:val="26"/>
      <w:szCs w:val="20"/>
    </w:rPr>
  </w:style>
  <w:style w:type="character" w:customStyle="1" w:styleId="32">
    <w:name w:val="font21"/>
    <w:basedOn w:val="22"/>
    <w:autoRedefine/>
    <w:qFormat/>
    <w:uiPriority w:val="0"/>
    <w:rPr>
      <w:rFonts w:hint="eastAsia" w:ascii="宋体" w:hAnsi="宋体" w:eastAsia="宋体" w:cs="宋体"/>
      <w:color w:val="000000"/>
      <w:sz w:val="22"/>
      <w:szCs w:val="22"/>
      <w:u w:val="none"/>
    </w:rPr>
  </w:style>
  <w:style w:type="character" w:customStyle="1" w:styleId="33">
    <w:name w:val="font01"/>
    <w:basedOn w:val="22"/>
    <w:autoRedefine/>
    <w:qFormat/>
    <w:uiPriority w:val="0"/>
    <w:rPr>
      <w:rFonts w:hint="eastAsia" w:ascii="宋体" w:hAnsi="宋体" w:eastAsia="宋体" w:cs="宋体"/>
      <w:color w:val="000000"/>
      <w:sz w:val="24"/>
      <w:szCs w:val="24"/>
      <w:u w:val="none"/>
    </w:rPr>
  </w:style>
  <w:style w:type="character" w:customStyle="1" w:styleId="34">
    <w:name w:val="font41"/>
    <w:basedOn w:val="22"/>
    <w:qFormat/>
    <w:uiPriority w:val="0"/>
    <w:rPr>
      <w:rFonts w:ascii="Calibri" w:hAnsi="Calibri" w:cs="Calibri"/>
      <w:color w:val="000000"/>
      <w:sz w:val="24"/>
      <w:szCs w:val="24"/>
      <w:u w:val="none"/>
    </w:rPr>
  </w:style>
  <w:style w:type="character" w:customStyle="1" w:styleId="35">
    <w:name w:val="font71"/>
    <w:basedOn w:val="22"/>
    <w:autoRedefine/>
    <w:qFormat/>
    <w:uiPriority w:val="0"/>
    <w:rPr>
      <w:rFonts w:ascii="等线" w:hAnsi="等线" w:eastAsia="等线" w:cs="等线"/>
      <w:color w:val="FF0000"/>
      <w:sz w:val="16"/>
      <w:szCs w:val="16"/>
      <w:u w:val="none"/>
    </w:rPr>
  </w:style>
  <w:style w:type="character" w:customStyle="1" w:styleId="36">
    <w:name w:val="font11"/>
    <w:basedOn w:val="22"/>
    <w:autoRedefine/>
    <w:qFormat/>
    <w:uiPriority w:val="0"/>
    <w:rPr>
      <w:rFonts w:hint="eastAsia" w:ascii="宋体" w:hAnsi="宋体" w:eastAsia="宋体" w:cs="宋体"/>
      <w:color w:val="000000"/>
      <w:sz w:val="22"/>
      <w:szCs w:val="22"/>
      <w:u w:val="none"/>
    </w:rPr>
  </w:style>
  <w:style w:type="character" w:customStyle="1" w:styleId="37">
    <w:name w:val="font31"/>
    <w:basedOn w:val="22"/>
    <w:qFormat/>
    <w:uiPriority w:val="0"/>
    <w:rPr>
      <w:rFonts w:hint="eastAsia" w:ascii="宋体" w:hAnsi="宋体" w:eastAsia="宋体" w:cs="宋体"/>
      <w:color w:val="000000"/>
      <w:sz w:val="21"/>
      <w:szCs w:val="21"/>
      <w:u w:val="none"/>
    </w:rPr>
  </w:style>
  <w:style w:type="character" w:customStyle="1" w:styleId="38">
    <w:name w:val="页眉 字符"/>
    <w:basedOn w:val="22"/>
    <w:link w:val="14"/>
    <w:qFormat/>
    <w:uiPriority w:val="0"/>
    <w:rPr>
      <w:rFonts w:asciiTheme="minorHAnsi" w:hAnsiTheme="minorHAnsi" w:eastAsiaTheme="minorEastAsia" w:cstheme="minorBidi"/>
      <w:kern w:val="2"/>
      <w:sz w:val="18"/>
      <w:szCs w:val="18"/>
    </w:rPr>
  </w:style>
  <w:style w:type="character" w:customStyle="1" w:styleId="39">
    <w:name w:val="页脚 字符"/>
    <w:basedOn w:val="22"/>
    <w:link w:val="13"/>
    <w:autoRedefine/>
    <w:qFormat/>
    <w:uiPriority w:val="0"/>
    <w:rPr>
      <w:rFonts w:asciiTheme="minorHAnsi" w:hAnsiTheme="minorHAnsi" w:eastAsiaTheme="minorEastAsia" w:cstheme="minorBidi"/>
      <w:kern w:val="2"/>
      <w:sz w:val="18"/>
      <w:szCs w:val="18"/>
    </w:rPr>
  </w:style>
  <w:style w:type="paragraph" w:customStyle="1" w:styleId="40">
    <w:name w:val="Default"/>
    <w:autoRedefine/>
    <w:unhideWhenUsed/>
    <w:qFormat/>
    <w:uiPriority w:val="99"/>
    <w:pPr>
      <w:widowControl w:val="0"/>
    </w:pPr>
    <w:rPr>
      <w:rFonts w:hint="eastAsia" w:ascii="仿宋_GB2312" w:hAnsi="仿宋_GB2312" w:eastAsia="仿宋_GB2312" w:cs="Times New Roman"/>
      <w:color w:val="000000"/>
      <w:sz w:val="24"/>
      <w:lang w:val="en-US" w:eastAsia="zh-CN" w:bidi="ar-SA"/>
    </w:rPr>
  </w:style>
  <w:style w:type="paragraph" w:styleId="4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一级目录"/>
    <w:next w:val="1"/>
    <w:autoRedefine/>
    <w:qFormat/>
    <w:uiPriority w:val="99"/>
    <w:pPr>
      <w:spacing w:afterLines="100"/>
      <w:jc w:val="center"/>
      <w:outlineLvl w:val="0"/>
    </w:pPr>
    <w:rPr>
      <w:rFonts w:ascii="黑体" w:hAnsi="Calibri" w:eastAsia="黑体" w:cs="Times New Roman"/>
      <w:b/>
      <w:kern w:val="2"/>
      <w:sz w:val="44"/>
      <w:szCs w:val="44"/>
      <w:lang w:val="en-US" w:eastAsia="zh-CN" w:bidi="ar-SA"/>
    </w:rPr>
  </w:style>
  <w:style w:type="character" w:customStyle="1" w:styleId="43">
    <w:name w:val="批注文字 字符"/>
    <w:basedOn w:val="22"/>
    <w:link w:val="9"/>
    <w:autoRedefine/>
    <w:semiHidden/>
    <w:qFormat/>
    <w:uiPriority w:val="99"/>
    <w:rPr>
      <w:rFonts w:ascii="宋体" w:hAnsi="宋体" w:cs="宋体"/>
      <w:sz w:val="22"/>
      <w:szCs w:val="22"/>
      <w:lang w:val="zh-CN" w:bidi="zh-CN"/>
    </w:rPr>
  </w:style>
  <w:style w:type="character" w:customStyle="1" w:styleId="44">
    <w:name w:val="批注主题 字符"/>
    <w:basedOn w:val="43"/>
    <w:link w:val="19"/>
    <w:autoRedefine/>
    <w:semiHidden/>
    <w:qFormat/>
    <w:uiPriority w:val="0"/>
    <w:rPr>
      <w:rFonts w:asciiTheme="minorHAnsi" w:hAnsiTheme="minorHAnsi" w:eastAsiaTheme="minorEastAsia" w:cstheme="minorBidi"/>
      <w:b/>
      <w:bCs/>
      <w:kern w:val="2"/>
      <w:sz w:val="21"/>
      <w:szCs w:val="22"/>
      <w:lang w:val="zh-CN" w:bidi="zh-CN"/>
    </w:r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15359</Words>
  <Characters>16034</Characters>
  <Lines>124</Lines>
  <Paragraphs>34</Paragraphs>
  <TotalTime>12</TotalTime>
  <ScaleCrop>false</ScaleCrop>
  <LinksUpToDate>false</LinksUpToDate>
  <CharactersWithSpaces>16925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2024-09-09T09:24:00Z</dcterms:created>
  <dc:creator>李李李</dc:creator>
  <cp:lastModifiedBy>徐海锋</cp:lastModifiedBy>
  <cp:lastPrinted>2023-06-07T19:06:00Z</cp:lastPrinted>
  <dcterms:modified xsi:type="dcterms:W3CDTF">2024-10-18T06:35:24Z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61F109EBD13F4AEC8C68CC19C755AB30_13</vt:lpwstr>
  </property>
</Properties>
</file>