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93BC0C">
      <w:pPr>
        <w:pStyle w:val="73"/>
        <w:spacing w:before="0" w:after="0" w:line="240" w:lineRule="auto"/>
        <w:ind w:firstLine="0" w:firstLineChars="0"/>
        <w:jc w:val="center"/>
        <w:rPr>
          <w:rFonts w:hint="eastAsia" w:ascii="宋体" w:hAnsi="宋体" w:cs="宋体"/>
          <w:b/>
          <w:bCs/>
          <w:color w:val="auto"/>
          <w:sz w:val="48"/>
          <w:szCs w:val="48"/>
          <w:highlight w:val="none"/>
          <w:lang w:eastAsia="zh-CN"/>
        </w:rPr>
      </w:pPr>
    </w:p>
    <w:p w14:paraId="32BBB447">
      <w:pPr>
        <w:pStyle w:val="73"/>
        <w:spacing w:before="0" w:after="0" w:line="240" w:lineRule="auto"/>
        <w:ind w:firstLine="0" w:firstLineChars="0"/>
        <w:jc w:val="center"/>
        <w:rPr>
          <w:rFonts w:hint="eastAsia" w:ascii="宋体" w:hAnsi="宋体" w:cs="宋体"/>
          <w:b/>
          <w:bCs/>
          <w:color w:val="auto"/>
          <w:sz w:val="48"/>
          <w:szCs w:val="48"/>
          <w:highlight w:val="none"/>
          <w:lang w:eastAsia="zh-CN"/>
        </w:rPr>
      </w:pPr>
    </w:p>
    <w:p w14:paraId="722C68E6">
      <w:pPr>
        <w:pStyle w:val="73"/>
        <w:spacing w:before="0" w:after="0" w:line="240" w:lineRule="auto"/>
        <w:ind w:firstLine="0" w:firstLineChars="0"/>
        <w:jc w:val="center"/>
        <w:rPr>
          <w:rFonts w:hint="eastAsia" w:ascii="宋体" w:hAnsi="宋体" w:eastAsia="宋体" w:cs="宋体"/>
          <w:b/>
          <w:bCs/>
          <w:color w:val="auto"/>
          <w:sz w:val="48"/>
          <w:szCs w:val="48"/>
          <w:highlight w:val="none"/>
          <w:lang w:eastAsia="zh-CN"/>
        </w:rPr>
      </w:pPr>
      <w:r>
        <w:rPr>
          <w:rFonts w:hint="eastAsia" w:ascii="宋体" w:hAnsi="宋体" w:cs="宋体"/>
          <w:b/>
          <w:bCs/>
          <w:color w:val="auto"/>
          <w:sz w:val="48"/>
          <w:szCs w:val="48"/>
          <w:highlight w:val="none"/>
          <w:lang w:val="en-US" w:eastAsia="zh-CN"/>
        </w:rPr>
        <w:t>如东县政务中心食堂厨房设备采购及安装项目</w:t>
      </w:r>
    </w:p>
    <w:p w14:paraId="2CC139EA">
      <w:pPr>
        <w:pStyle w:val="73"/>
        <w:spacing w:before="0" w:after="0" w:line="240" w:lineRule="auto"/>
        <w:ind w:firstLine="0" w:firstLineChars="0"/>
        <w:jc w:val="center"/>
        <w:rPr>
          <w:rFonts w:ascii="宋体" w:hAnsi="宋体" w:cs="宋体"/>
          <w:b/>
          <w:bCs/>
          <w:color w:val="auto"/>
          <w:sz w:val="52"/>
          <w:szCs w:val="52"/>
          <w:highlight w:val="none"/>
        </w:rPr>
      </w:pPr>
    </w:p>
    <w:p w14:paraId="0BD79150">
      <w:pPr>
        <w:pStyle w:val="73"/>
        <w:spacing w:before="0" w:after="0" w:line="240" w:lineRule="auto"/>
        <w:ind w:firstLine="0" w:firstLineChars="0"/>
        <w:jc w:val="center"/>
        <w:rPr>
          <w:rFonts w:ascii="宋体" w:hAnsi="宋体" w:cs="宋体"/>
          <w:b/>
          <w:bCs/>
          <w:color w:val="auto"/>
          <w:sz w:val="52"/>
          <w:szCs w:val="52"/>
          <w:highlight w:val="none"/>
        </w:rPr>
      </w:pPr>
    </w:p>
    <w:p w14:paraId="41AF0477">
      <w:pPr>
        <w:pStyle w:val="73"/>
        <w:spacing w:before="0" w:after="0" w:line="240" w:lineRule="auto"/>
        <w:ind w:firstLine="0" w:firstLineChars="0"/>
        <w:jc w:val="center"/>
        <w:rPr>
          <w:rFonts w:ascii="宋体" w:hAnsi="宋体" w:cs="宋体"/>
          <w:b/>
          <w:bCs/>
          <w:color w:val="auto"/>
          <w:sz w:val="52"/>
          <w:szCs w:val="52"/>
          <w:highlight w:val="none"/>
        </w:rPr>
      </w:pPr>
    </w:p>
    <w:p w14:paraId="724B1B80">
      <w:pPr>
        <w:pStyle w:val="73"/>
        <w:spacing w:before="0" w:after="0" w:line="240" w:lineRule="auto"/>
        <w:ind w:firstLine="0" w:firstLineChars="0"/>
        <w:jc w:val="center"/>
        <w:rPr>
          <w:rFonts w:ascii="宋体" w:hAnsi="宋体" w:cs="宋体"/>
          <w:b/>
          <w:bCs/>
          <w:color w:val="auto"/>
          <w:sz w:val="52"/>
          <w:szCs w:val="52"/>
          <w:highlight w:val="none"/>
        </w:rPr>
      </w:pPr>
    </w:p>
    <w:p w14:paraId="466AE846">
      <w:pPr>
        <w:pStyle w:val="73"/>
        <w:spacing w:before="0" w:after="0" w:line="240" w:lineRule="auto"/>
        <w:ind w:firstLine="0" w:firstLineChars="0"/>
        <w:jc w:val="center"/>
        <w:rPr>
          <w:rFonts w:ascii="宋体" w:hAnsi="宋体" w:cs="宋体"/>
          <w:b/>
          <w:bCs/>
          <w:color w:val="auto"/>
          <w:sz w:val="52"/>
          <w:szCs w:val="52"/>
          <w:highlight w:val="none"/>
        </w:rPr>
      </w:pPr>
    </w:p>
    <w:p w14:paraId="0E5D9921">
      <w:pPr>
        <w:pStyle w:val="73"/>
        <w:ind w:firstLine="1687"/>
        <w:jc w:val="both"/>
        <w:rPr>
          <w:rFonts w:ascii="宋体" w:hAnsi="宋体" w:cs="宋体"/>
          <w:b/>
          <w:bCs/>
          <w:color w:val="auto"/>
          <w:sz w:val="84"/>
          <w:szCs w:val="84"/>
          <w:highlight w:val="none"/>
        </w:rPr>
      </w:pPr>
      <w:r>
        <w:rPr>
          <w:rFonts w:hint="eastAsia" w:ascii="宋体" w:hAnsi="宋体" w:cs="宋体"/>
          <w:b/>
          <w:bCs/>
          <w:color w:val="auto"/>
          <w:sz w:val="84"/>
          <w:szCs w:val="84"/>
          <w:highlight w:val="none"/>
        </w:rPr>
        <w:t>竞争性磋商文件</w:t>
      </w:r>
    </w:p>
    <w:p w14:paraId="16D9A005">
      <w:pPr>
        <w:pStyle w:val="73"/>
        <w:rPr>
          <w:rFonts w:ascii="宋体" w:hAnsi="宋体" w:cs="宋体"/>
          <w:color w:val="auto"/>
          <w:highlight w:val="none"/>
        </w:rPr>
      </w:pPr>
      <w:r>
        <w:rPr>
          <w:rFonts w:hint="eastAsia" w:ascii="宋体" w:hAnsi="宋体" w:cs="宋体"/>
          <w:b/>
          <w:bCs/>
          <w:color w:val="auto"/>
          <w:sz w:val="32"/>
          <w:szCs w:val="32"/>
          <w:highlight w:val="none"/>
          <w:lang w:val="en-US" w:eastAsia="zh-CN"/>
        </w:rPr>
        <w:t xml:space="preserve"> </w:t>
      </w:r>
    </w:p>
    <w:p w14:paraId="35DC8F52">
      <w:pPr>
        <w:pStyle w:val="73"/>
        <w:ind w:firstLine="0" w:firstLineChars="0"/>
        <w:rPr>
          <w:rFonts w:ascii="宋体" w:hAnsi="宋体" w:cs="宋体"/>
          <w:color w:val="auto"/>
          <w:highlight w:val="none"/>
        </w:rPr>
      </w:pPr>
    </w:p>
    <w:p w14:paraId="0023A58F">
      <w:pPr>
        <w:pStyle w:val="73"/>
        <w:rPr>
          <w:rFonts w:ascii="宋体" w:hAnsi="宋体" w:cs="宋体"/>
          <w:color w:val="auto"/>
          <w:highlight w:val="none"/>
        </w:rPr>
      </w:pPr>
    </w:p>
    <w:p w14:paraId="56CF4952">
      <w:pPr>
        <w:pStyle w:val="73"/>
        <w:keepNext w:val="0"/>
        <w:keepLines w:val="0"/>
        <w:pageBreakBefore w:val="0"/>
        <w:widowControl w:val="0"/>
        <w:kinsoku/>
        <w:wordWrap/>
        <w:overflowPunct/>
        <w:topLinePunct w:val="0"/>
        <w:autoSpaceDE/>
        <w:autoSpaceDN/>
        <w:bidi w:val="0"/>
        <w:adjustRightInd w:val="0"/>
        <w:snapToGrid/>
        <w:spacing w:before="0" w:after="0" w:line="360" w:lineRule="auto"/>
        <w:ind w:left="0" w:hanging="1506" w:hangingChars="500"/>
        <w:jc w:val="both"/>
        <w:textAlignment w:val="baseline"/>
        <w:rPr>
          <w:rFonts w:hint="default" w:ascii="宋体" w:hAnsi="宋体" w:cs="宋体"/>
          <w:b/>
          <w:color w:val="auto"/>
          <w:sz w:val="30"/>
          <w:szCs w:val="30"/>
          <w:highlight w:val="none"/>
          <w:u w:val="single"/>
          <w:lang w:val="en-US"/>
        </w:rPr>
      </w:pPr>
      <w:r>
        <w:rPr>
          <w:rFonts w:hint="eastAsia" w:ascii="宋体" w:hAnsi="宋体" w:cs="宋体"/>
          <w:b/>
          <w:bCs/>
          <w:color w:val="auto"/>
          <w:sz w:val="30"/>
          <w:szCs w:val="30"/>
          <w:highlight w:val="none"/>
          <w:lang w:val="en-US" w:eastAsia="zh-CN"/>
        </w:rPr>
        <w:t>项目名称：</w:t>
      </w:r>
      <w:r>
        <w:rPr>
          <w:rFonts w:hint="eastAsia" w:ascii="宋体" w:hAnsi="宋体" w:cs="宋体"/>
          <w:b/>
          <w:bCs/>
          <w:color w:val="auto"/>
          <w:sz w:val="30"/>
          <w:szCs w:val="30"/>
          <w:highlight w:val="none"/>
          <w:u w:val="single"/>
          <w:lang w:val="en-US" w:eastAsia="zh-CN"/>
        </w:rPr>
        <w:t xml:space="preserve"> </w:t>
      </w:r>
      <w:r>
        <w:rPr>
          <w:rFonts w:hint="eastAsia" w:ascii="宋体" w:hAnsi="宋体" w:cs="宋体"/>
          <w:b/>
          <w:bCs/>
          <w:color w:val="auto"/>
          <w:sz w:val="30"/>
          <w:szCs w:val="30"/>
          <w:highlight w:val="none"/>
          <w:u w:val="single"/>
          <w:lang w:eastAsia="zh-CN"/>
        </w:rPr>
        <w:t>如东县政务中心食堂厨房设备采购及安装项目</w:t>
      </w:r>
      <w:r>
        <w:rPr>
          <w:rFonts w:hint="eastAsia" w:ascii="宋体" w:hAnsi="宋体" w:cs="宋体"/>
          <w:b/>
          <w:bCs/>
          <w:color w:val="auto"/>
          <w:sz w:val="30"/>
          <w:szCs w:val="30"/>
          <w:highlight w:val="none"/>
          <w:u w:val="single"/>
          <w:lang w:val="en-US" w:eastAsia="zh-CN"/>
        </w:rPr>
        <w:t xml:space="preserve">                              </w:t>
      </w:r>
    </w:p>
    <w:p w14:paraId="618999C8">
      <w:pPr>
        <w:adjustRightInd w:val="0"/>
        <w:snapToGrid w:val="0"/>
        <w:ind w:firstLine="0" w:firstLineChars="0"/>
        <w:rPr>
          <w:rFonts w:ascii="宋体" w:hAnsi="宋体" w:cs="宋体"/>
          <w:b/>
          <w:color w:val="auto"/>
          <w:sz w:val="30"/>
          <w:szCs w:val="30"/>
          <w:highlight w:val="none"/>
        </w:rPr>
      </w:pPr>
      <w:r>
        <w:rPr>
          <w:rFonts w:hint="eastAsia" w:ascii="宋体" w:hAnsi="宋体" w:cs="宋体"/>
          <w:b/>
          <w:color w:val="auto"/>
          <w:sz w:val="30"/>
          <w:szCs w:val="30"/>
          <w:highlight w:val="none"/>
        </w:rPr>
        <w:t>采购人名称：</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eastAsia="zh-CN"/>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z w:val="30"/>
          <w:szCs w:val="30"/>
          <w:highlight w:val="none"/>
          <w:u w:val="single"/>
          <w:lang w:eastAsia="zh-CN"/>
        </w:rPr>
        <w:t>如东县机关事务服务中心</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 xml:space="preserve">      </w:t>
      </w:r>
    </w:p>
    <w:p w14:paraId="298D05A5">
      <w:pPr>
        <w:adjustRightInd w:val="0"/>
        <w:snapToGrid w:val="0"/>
        <w:ind w:firstLine="0" w:firstLineChars="0"/>
        <w:rPr>
          <w:rFonts w:ascii="宋体" w:hAnsi="宋体" w:cs="宋体"/>
          <w:bCs/>
          <w:color w:val="auto"/>
          <w:sz w:val="30"/>
          <w:szCs w:val="30"/>
          <w:highlight w:val="none"/>
          <w:u w:val="single"/>
        </w:rPr>
      </w:pPr>
      <w:r>
        <w:rPr>
          <w:rFonts w:hint="eastAsia" w:ascii="宋体" w:hAnsi="宋体" w:cs="宋体"/>
          <w:b/>
          <w:color w:val="auto"/>
          <w:sz w:val="30"/>
          <w:szCs w:val="30"/>
          <w:highlight w:val="none"/>
        </w:rPr>
        <w:t>采购方式：</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z w:val="30"/>
          <w:szCs w:val="30"/>
          <w:highlight w:val="none"/>
          <w:u w:val="single"/>
        </w:rPr>
        <w:t xml:space="preserve">     竞争性磋商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z w:val="30"/>
          <w:szCs w:val="30"/>
          <w:highlight w:val="none"/>
          <w:u w:val="single"/>
        </w:rPr>
        <w:t xml:space="preserve">  </w:t>
      </w:r>
    </w:p>
    <w:p w14:paraId="221E4251">
      <w:pPr>
        <w:pStyle w:val="73"/>
        <w:snapToGrid w:val="0"/>
        <w:ind w:firstLine="3915" w:firstLineChars="1300"/>
        <w:jc w:val="both"/>
        <w:rPr>
          <w:rFonts w:ascii="宋体" w:hAnsi="宋体" w:cs="宋体"/>
          <w:b/>
          <w:bCs/>
          <w:color w:val="auto"/>
          <w:sz w:val="30"/>
          <w:szCs w:val="30"/>
          <w:highlight w:val="none"/>
        </w:rPr>
      </w:pPr>
      <w:r>
        <w:rPr>
          <w:rFonts w:hint="eastAsia" w:ascii="宋体" w:hAnsi="宋体" w:cs="宋体"/>
          <w:b/>
          <w:bCs/>
          <w:color w:val="auto"/>
          <w:sz w:val="30"/>
          <w:szCs w:val="30"/>
          <w:highlight w:val="none"/>
        </w:rPr>
        <w:t xml:space="preserve"> 二〇二</w:t>
      </w:r>
      <w:r>
        <w:rPr>
          <w:rFonts w:hint="eastAsia" w:ascii="宋体" w:hAnsi="宋体" w:cs="宋体"/>
          <w:b/>
          <w:bCs/>
          <w:color w:val="auto"/>
          <w:sz w:val="30"/>
          <w:szCs w:val="30"/>
          <w:highlight w:val="none"/>
          <w:lang w:val="en-US" w:eastAsia="zh-CN"/>
        </w:rPr>
        <w:t>五</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val="en-US" w:eastAsia="zh-CN"/>
        </w:rPr>
        <w:t>十</w:t>
      </w:r>
      <w:r>
        <w:rPr>
          <w:rFonts w:hint="eastAsia" w:ascii="宋体" w:hAnsi="宋体" w:cs="宋体"/>
          <w:b/>
          <w:bCs/>
          <w:color w:val="auto"/>
          <w:sz w:val="30"/>
          <w:szCs w:val="30"/>
          <w:highlight w:val="none"/>
        </w:rPr>
        <w:t>月</w:t>
      </w:r>
    </w:p>
    <w:p w14:paraId="7DE2D9D1">
      <w:pPr>
        <w:rPr>
          <w:rFonts w:ascii="宋体" w:hAnsi="宋体" w:cs="宋体"/>
          <w:color w:val="auto"/>
          <w:highlight w:val="none"/>
        </w:rPr>
      </w:pPr>
      <w:bookmarkStart w:id="0" w:name="_Toc120614210"/>
      <w:bookmarkStart w:id="1" w:name="_Toc479757206"/>
      <w:bookmarkStart w:id="2" w:name="_Toc16938516"/>
      <w:bookmarkStart w:id="3" w:name="_Toc513029200"/>
      <w:bookmarkStart w:id="4" w:name="_Toc523127445"/>
      <w:bookmarkStart w:id="5" w:name="_Toc20823272"/>
    </w:p>
    <w:p w14:paraId="02CB1034">
      <w:pPr>
        <w:ind w:firstLine="883"/>
        <w:jc w:val="center"/>
        <w:rPr>
          <w:rFonts w:ascii="宋体" w:hAnsi="宋体" w:cs="宋体"/>
          <w:b/>
          <w:bCs/>
          <w:color w:val="auto"/>
          <w:sz w:val="44"/>
          <w:szCs w:val="44"/>
          <w:highlight w:val="none"/>
        </w:rPr>
      </w:pPr>
    </w:p>
    <w:p w14:paraId="0B61C07D">
      <w:pPr>
        <w:ind w:firstLine="883"/>
        <w:jc w:val="center"/>
        <w:rPr>
          <w:rFonts w:hint="eastAsia" w:ascii="宋体" w:hAnsi="宋体" w:cs="宋体"/>
          <w:b/>
          <w:bCs/>
          <w:color w:val="auto"/>
          <w:sz w:val="44"/>
          <w:szCs w:val="44"/>
          <w:highlight w:val="none"/>
        </w:rPr>
        <w:sectPr>
          <w:headerReference r:id="rId7" w:type="first"/>
          <w:footerReference r:id="rId10" w:type="first"/>
          <w:headerReference r:id="rId5" w:type="default"/>
          <w:footerReference r:id="rId8" w:type="default"/>
          <w:headerReference r:id="rId6" w:type="even"/>
          <w:footerReference r:id="rId9" w:type="even"/>
          <w:pgSz w:w="11907" w:h="16838"/>
          <w:pgMar w:top="1418" w:right="1418" w:bottom="1418" w:left="1418" w:header="851" w:footer="907" w:gutter="0"/>
          <w:pgNumType w:fmt="decimal" w:start="1"/>
          <w:cols w:space="720" w:num="1"/>
          <w:titlePg/>
          <w:docGrid w:linePitch="290" w:charSpace="0"/>
        </w:sectPr>
      </w:pPr>
    </w:p>
    <w:p w14:paraId="4339564F">
      <w:pPr>
        <w:ind w:firstLine="883"/>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总  目  录</w:t>
      </w:r>
    </w:p>
    <w:p w14:paraId="09B0F01E">
      <w:pPr>
        <w:pStyle w:val="32"/>
        <w:tabs>
          <w:tab w:val="right" w:leader="dot" w:pos="9061"/>
        </w:tabs>
        <w:ind w:firstLine="0" w:firstLineChars="0"/>
        <w:rPr>
          <w:rFonts w:ascii="宋体" w:hAnsi="宋体" w:eastAsia="宋体" w:cs="宋体"/>
          <w:b w:val="0"/>
          <w:bCs w:val="0"/>
          <w:caps w:val="0"/>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TOC \o "1-1" \h \z \u </w:instrText>
      </w:r>
      <w:r>
        <w:rPr>
          <w:rFonts w:hint="eastAsia" w:ascii="宋体" w:hAnsi="宋体" w:eastAsia="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"_Toc124108545" </w:instrText>
      </w:r>
      <w:r>
        <w:rPr>
          <w:color w:val="auto"/>
          <w:highlight w:val="none"/>
        </w:rPr>
        <w:fldChar w:fldCharType="separate"/>
      </w:r>
      <w:r>
        <w:rPr>
          <w:rFonts w:hint="eastAsia" w:ascii="宋体" w:hAnsi="宋体" w:eastAsia="宋体" w:cs="宋体"/>
          <w:color w:val="auto"/>
          <w:sz w:val="30"/>
          <w:szCs w:val="30"/>
          <w:highlight w:val="none"/>
        </w:rPr>
        <w:t>第一章  采购公告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lang w:val="en-US" w:eastAsia="zh-CN"/>
        </w:rPr>
        <w:t>3</w:t>
      </w:r>
      <w:r>
        <w:rPr>
          <w:rFonts w:hint="eastAsia" w:ascii="宋体" w:hAnsi="宋体" w:eastAsia="宋体" w:cs="宋体"/>
          <w:color w:val="auto"/>
          <w:sz w:val="30"/>
          <w:szCs w:val="30"/>
          <w:highlight w:val="none"/>
        </w:rPr>
        <w:fldChar w:fldCharType="end"/>
      </w:r>
    </w:p>
    <w:p w14:paraId="63F86A17">
      <w:pPr>
        <w:pStyle w:val="32"/>
        <w:tabs>
          <w:tab w:val="right" w:leader="dot" w:pos="9061"/>
        </w:tabs>
        <w:ind w:firstLine="0" w:firstLineChars="0"/>
        <w:rPr>
          <w:rFonts w:ascii="宋体" w:hAnsi="宋体" w:eastAsia="宋体" w:cs="宋体"/>
          <w:b w:val="0"/>
          <w:bCs w:val="0"/>
          <w:caps w:val="0"/>
          <w:color w:val="auto"/>
          <w:sz w:val="30"/>
          <w:szCs w:val="30"/>
          <w:highlight w:val="none"/>
        </w:rPr>
      </w:pPr>
      <w:r>
        <w:rPr>
          <w:color w:val="auto"/>
          <w:highlight w:val="none"/>
        </w:rPr>
        <w:fldChar w:fldCharType="begin"/>
      </w:r>
      <w:r>
        <w:rPr>
          <w:color w:val="auto"/>
          <w:highlight w:val="none"/>
        </w:rPr>
        <w:instrText xml:space="preserve"> HYPERLINK \l "_Toc124108546" </w:instrText>
      </w:r>
      <w:r>
        <w:rPr>
          <w:color w:val="auto"/>
          <w:highlight w:val="none"/>
        </w:rPr>
        <w:fldChar w:fldCharType="separate"/>
      </w:r>
      <w:r>
        <w:rPr>
          <w:rFonts w:hint="eastAsia" w:ascii="宋体" w:hAnsi="宋体" w:eastAsia="宋体" w:cs="宋体"/>
          <w:color w:val="auto"/>
          <w:sz w:val="30"/>
          <w:szCs w:val="30"/>
          <w:highlight w:val="none"/>
        </w:rPr>
        <w:t>第二章  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lang w:val="en-US" w:eastAsia="zh-CN"/>
        </w:rPr>
        <w:t>5</w:t>
      </w:r>
      <w:r>
        <w:rPr>
          <w:rFonts w:hint="eastAsia" w:ascii="宋体" w:hAnsi="宋体" w:eastAsia="宋体" w:cs="宋体"/>
          <w:color w:val="auto"/>
          <w:sz w:val="30"/>
          <w:szCs w:val="30"/>
          <w:highlight w:val="none"/>
        </w:rPr>
        <w:fldChar w:fldCharType="end"/>
      </w:r>
    </w:p>
    <w:p w14:paraId="4C0AE13A">
      <w:pPr>
        <w:pStyle w:val="32"/>
        <w:tabs>
          <w:tab w:val="right" w:leader="dot" w:pos="9061"/>
        </w:tabs>
        <w:ind w:firstLine="0" w:firstLineChars="0"/>
        <w:rPr>
          <w:rFonts w:hint="eastAsia" w:ascii="宋体" w:hAnsi="宋体" w:eastAsia="宋体" w:cs="宋体"/>
          <w:b w:val="0"/>
          <w:bCs w:val="0"/>
          <w:caps w:val="0"/>
          <w:color w:val="auto"/>
          <w:sz w:val="30"/>
          <w:szCs w:val="30"/>
          <w:highlight w:val="none"/>
          <w:lang w:eastAsia="zh-CN"/>
        </w:rPr>
      </w:pPr>
      <w:r>
        <w:rPr>
          <w:color w:val="auto"/>
          <w:highlight w:val="none"/>
        </w:rPr>
        <w:fldChar w:fldCharType="begin"/>
      </w:r>
      <w:r>
        <w:rPr>
          <w:color w:val="auto"/>
          <w:highlight w:val="none"/>
        </w:rPr>
        <w:instrText xml:space="preserve"> HYPERLINK \l "_Toc124108547" </w:instrText>
      </w:r>
      <w:r>
        <w:rPr>
          <w:color w:val="auto"/>
          <w:highlight w:val="none"/>
        </w:rPr>
        <w:fldChar w:fldCharType="separate"/>
      </w:r>
      <w:r>
        <w:rPr>
          <w:rFonts w:hint="eastAsia" w:ascii="宋体" w:hAnsi="宋体" w:eastAsia="宋体" w:cs="宋体"/>
          <w:color w:val="auto"/>
          <w:sz w:val="30"/>
          <w:szCs w:val="30"/>
          <w:highlight w:val="none"/>
          <w:lang w:val="zh-CN"/>
        </w:rPr>
        <w:t>第三章  项目需求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t>1</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lang w:val="en-US" w:eastAsia="zh-CN"/>
        </w:rPr>
        <w:t>5</w:t>
      </w:r>
    </w:p>
    <w:p w14:paraId="586F44FC">
      <w:pPr>
        <w:pStyle w:val="32"/>
        <w:tabs>
          <w:tab w:val="right" w:leader="dot" w:pos="9061"/>
        </w:tabs>
        <w:ind w:firstLine="0" w:firstLineChars="0"/>
        <w:rPr>
          <w:rFonts w:hint="eastAsia" w:ascii="宋体" w:hAnsi="宋体" w:eastAsia="宋体" w:cs="宋体"/>
          <w:b w:val="0"/>
          <w:bCs w:val="0"/>
          <w:caps w:val="0"/>
          <w:color w:val="auto"/>
          <w:sz w:val="30"/>
          <w:szCs w:val="30"/>
          <w:highlight w:val="none"/>
          <w:lang w:eastAsia="zh-CN"/>
        </w:rPr>
      </w:pPr>
      <w:r>
        <w:rPr>
          <w:color w:val="auto"/>
          <w:highlight w:val="none"/>
        </w:rPr>
        <w:fldChar w:fldCharType="begin"/>
      </w:r>
      <w:r>
        <w:rPr>
          <w:color w:val="auto"/>
          <w:highlight w:val="none"/>
        </w:rPr>
        <w:instrText xml:space="preserve"> HYPERLINK \l "_Toc124108548" </w:instrText>
      </w:r>
      <w:r>
        <w:rPr>
          <w:color w:val="auto"/>
          <w:highlight w:val="none"/>
        </w:rPr>
        <w:fldChar w:fldCharType="separate"/>
      </w:r>
      <w:r>
        <w:rPr>
          <w:rFonts w:hint="eastAsia" w:ascii="宋体" w:hAnsi="宋体" w:eastAsia="宋体" w:cs="宋体"/>
          <w:color w:val="auto"/>
          <w:sz w:val="30"/>
          <w:szCs w:val="30"/>
          <w:highlight w:val="none"/>
          <w:lang w:val="zh-CN"/>
        </w:rPr>
        <w:t>第四章  评标方法与评标标准</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lang w:val="en-US" w:eastAsia="zh-CN"/>
        </w:rPr>
        <w:t>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lang w:val="en-US" w:eastAsia="zh-CN"/>
        </w:rPr>
        <w:t>5</w:t>
      </w:r>
    </w:p>
    <w:p w14:paraId="3FB66C5C">
      <w:pPr>
        <w:pStyle w:val="32"/>
        <w:tabs>
          <w:tab w:val="right" w:leader="dot" w:pos="9061"/>
        </w:tabs>
        <w:ind w:firstLine="0" w:firstLineChars="0"/>
        <w:rPr>
          <w:rFonts w:hint="eastAsia" w:ascii="宋体" w:hAnsi="宋体" w:eastAsia="宋体" w:cs="宋体"/>
          <w:b w:val="0"/>
          <w:bCs w:val="0"/>
          <w:caps w:val="0"/>
          <w:color w:val="auto"/>
          <w:sz w:val="30"/>
          <w:szCs w:val="30"/>
          <w:highlight w:val="none"/>
          <w:lang w:eastAsia="zh-CN"/>
        </w:rPr>
      </w:pPr>
      <w:r>
        <w:rPr>
          <w:color w:val="auto"/>
          <w:highlight w:val="none"/>
        </w:rPr>
        <w:fldChar w:fldCharType="begin"/>
      </w:r>
      <w:r>
        <w:rPr>
          <w:color w:val="auto"/>
          <w:highlight w:val="none"/>
        </w:rPr>
        <w:instrText xml:space="preserve"> HYPERLINK \l "_Toc124108549" </w:instrText>
      </w:r>
      <w:r>
        <w:rPr>
          <w:color w:val="auto"/>
          <w:highlight w:val="none"/>
        </w:rPr>
        <w:fldChar w:fldCharType="separate"/>
      </w:r>
      <w:r>
        <w:rPr>
          <w:rFonts w:hint="eastAsia" w:ascii="宋体" w:hAnsi="宋体" w:eastAsia="宋体" w:cs="宋体"/>
          <w:color w:val="auto"/>
          <w:sz w:val="30"/>
          <w:szCs w:val="30"/>
          <w:highlight w:val="none"/>
        </w:rPr>
        <w:t>第五章  投 标 格 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lang w:val="en-US" w:eastAsia="zh-CN"/>
        </w:rPr>
        <w:t>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lang w:val="en-US" w:eastAsia="zh-CN"/>
        </w:rPr>
        <w:t>8</w:t>
      </w:r>
    </w:p>
    <w:p w14:paraId="5467E614">
      <w:pPr>
        <w:pStyle w:val="32"/>
        <w:tabs>
          <w:tab w:val="right" w:leader="dot" w:pos="9061"/>
        </w:tabs>
        <w:ind w:firstLine="0" w:firstLineChars="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end"/>
      </w:r>
    </w:p>
    <w:p w14:paraId="30F2733F">
      <w:pPr>
        <w:pStyle w:val="32"/>
        <w:tabs>
          <w:tab w:val="right" w:leader="dot" w:pos="9061"/>
        </w:tabs>
        <w:ind w:firstLine="602"/>
        <w:rPr>
          <w:rFonts w:ascii="宋体" w:hAnsi="宋体" w:eastAsia="宋体" w:cs="宋体"/>
          <w:color w:val="auto"/>
          <w:sz w:val="30"/>
          <w:szCs w:val="30"/>
          <w:highlight w:val="none"/>
          <w:lang w:val="zh-CN"/>
        </w:rPr>
      </w:pPr>
    </w:p>
    <w:p w14:paraId="44236D25">
      <w:pPr>
        <w:rPr>
          <w:rFonts w:ascii="宋体" w:hAnsi="宋体" w:cs="宋体"/>
          <w:color w:val="auto"/>
          <w:highlight w:val="none"/>
        </w:rPr>
        <w:sectPr>
          <w:pgSz w:w="11907" w:h="16838"/>
          <w:pgMar w:top="1418" w:right="1418" w:bottom="1418" w:left="1418" w:header="851" w:footer="907" w:gutter="0"/>
          <w:pgNumType w:fmt="decimal" w:start="1"/>
          <w:cols w:space="720" w:num="1"/>
          <w:titlePg/>
          <w:docGrid w:linePitch="290" w:charSpace="0"/>
        </w:sectPr>
      </w:pPr>
      <w:r>
        <w:rPr>
          <w:rFonts w:hint="eastAsia" w:ascii="宋体" w:hAnsi="宋体" w:cs="宋体"/>
          <w:color w:val="auto"/>
          <w:highlight w:val="none"/>
        </w:rPr>
        <w:t xml:space="preserve"> </w:t>
      </w:r>
      <w:bookmarkEnd w:id="0"/>
      <w:bookmarkStart w:id="6" w:name="_Toc335123850"/>
      <w:bookmarkStart w:id="7" w:name="_Toc307561707"/>
      <w:bookmarkStart w:id="8" w:name="_Toc335124679"/>
      <w:bookmarkStart w:id="9" w:name="_Toc120614211"/>
      <w:bookmarkStart w:id="10" w:name="_Toc335123860"/>
      <w:bookmarkStart w:id="11" w:name="_Toc307561708"/>
    </w:p>
    <w:bookmarkEnd w:id="6"/>
    <w:bookmarkEnd w:id="7"/>
    <w:p w14:paraId="76FA725C">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宋体" w:hAnsi="宋体" w:eastAsia="宋体" w:cs="宋体"/>
          <w:color w:val="auto"/>
          <w:sz w:val="40"/>
          <w:highlight w:val="none"/>
          <w:lang w:val="en-US" w:eastAsia="zh-CN"/>
        </w:rPr>
      </w:pPr>
      <w:bookmarkStart w:id="12" w:name="_Toc109381852"/>
      <w:bookmarkStart w:id="13" w:name="_Toc124108545"/>
      <w:r>
        <w:rPr>
          <w:rFonts w:hint="eastAsia" w:ascii="宋体" w:hAnsi="宋体" w:cs="宋体"/>
          <w:color w:val="auto"/>
          <w:sz w:val="40"/>
          <w:highlight w:val="none"/>
        </w:rPr>
        <w:t xml:space="preserve">第一章 </w:t>
      </w:r>
      <w:bookmarkEnd w:id="12"/>
      <w:r>
        <w:rPr>
          <w:rFonts w:hint="eastAsia" w:ascii="宋体" w:hAnsi="宋体" w:cs="宋体"/>
          <w:color w:val="auto"/>
          <w:sz w:val="40"/>
          <w:highlight w:val="none"/>
        </w:rPr>
        <w:t>采购公告</w:t>
      </w:r>
      <w:bookmarkEnd w:id="13"/>
      <w:r>
        <w:rPr>
          <w:rFonts w:hint="eastAsia" w:ascii="宋体" w:hAnsi="宋体" w:cs="宋体"/>
          <w:color w:val="auto"/>
          <w:sz w:val="40"/>
          <w:highlight w:val="none"/>
          <w:lang w:val="en-US" w:eastAsia="zh-CN"/>
        </w:rPr>
        <w:t xml:space="preserve"> </w:t>
      </w:r>
    </w:p>
    <w:p w14:paraId="010217FB">
      <w:pPr>
        <w:keepNext w:val="0"/>
        <w:keepLines w:val="0"/>
        <w:pageBreakBefore w:val="0"/>
        <w:kinsoku/>
        <w:wordWrap/>
        <w:overflowPunct/>
        <w:topLinePunct w:val="0"/>
        <w:autoSpaceDE/>
        <w:autoSpaceDN/>
        <w:bidi w:val="0"/>
        <w:adjustRightInd w:val="0"/>
        <w:snapToGrid w:val="0"/>
        <w:spacing w:line="440" w:lineRule="exact"/>
        <w:ind w:firstLine="482"/>
        <w:textAlignment w:val="auto"/>
        <w:rPr>
          <w:rFonts w:ascii="宋体" w:hAnsi="宋体" w:cs="宋体"/>
          <w:b/>
          <w:color w:val="auto"/>
          <w:highlight w:val="none"/>
        </w:rPr>
      </w:pPr>
      <w:r>
        <w:rPr>
          <w:rFonts w:hint="eastAsia" w:ascii="宋体" w:hAnsi="宋体" w:cs="宋体"/>
          <w:b/>
          <w:color w:val="auto"/>
          <w:highlight w:val="none"/>
        </w:rPr>
        <w:t>项目概况</w:t>
      </w:r>
    </w:p>
    <w:p w14:paraId="485EA2AB">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cs="宋体"/>
          <w:color w:val="auto"/>
          <w:highlight w:val="none"/>
        </w:rPr>
      </w:pPr>
      <w:r>
        <w:rPr>
          <w:rFonts w:hint="eastAsia" w:ascii="宋体" w:hAnsi="宋体" w:cs="宋体"/>
          <w:color w:val="auto"/>
          <w:highlight w:val="none"/>
          <w:lang w:eastAsia="zh-CN"/>
        </w:rPr>
        <w:t>如东县政务中心食堂厨房设备采购及安装项目</w:t>
      </w:r>
      <w:r>
        <w:rPr>
          <w:rFonts w:hint="eastAsia" w:ascii="宋体" w:hAnsi="宋体" w:cs="宋体"/>
          <w:color w:val="auto"/>
          <w:highlight w:val="none"/>
        </w:rPr>
        <w:t>的潜在投标人应在如东县限额交易平台获取招标信息，并于202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10</w:t>
      </w:r>
      <w:r>
        <w:rPr>
          <w:rFonts w:hint="eastAsia" w:ascii="宋体" w:hAnsi="宋体" w:cs="宋体"/>
          <w:color w:val="auto"/>
          <w:highlight w:val="none"/>
        </w:rPr>
        <w:t>月</w:t>
      </w:r>
      <w:r>
        <w:rPr>
          <w:rFonts w:hint="eastAsia" w:ascii="宋体" w:hAnsi="宋体" w:cs="宋体"/>
          <w:color w:val="auto"/>
          <w:highlight w:val="none"/>
          <w:lang w:val="en-US" w:eastAsia="zh-CN"/>
        </w:rPr>
        <w:t>27</w:t>
      </w:r>
      <w:r>
        <w:rPr>
          <w:rFonts w:hint="eastAsia" w:ascii="宋体" w:hAnsi="宋体" w:cs="宋体"/>
          <w:color w:val="auto"/>
          <w:highlight w:val="none"/>
        </w:rPr>
        <w:t>日</w:t>
      </w:r>
      <w:r>
        <w:rPr>
          <w:rFonts w:hint="eastAsia" w:ascii="宋体" w:hAnsi="宋体" w:cs="宋体"/>
          <w:color w:val="auto"/>
          <w:highlight w:val="none"/>
          <w:lang w:val="en-US" w:eastAsia="zh-CN"/>
        </w:rPr>
        <w:t>上</w:t>
      </w:r>
      <w:r>
        <w:rPr>
          <w:rFonts w:hint="eastAsia" w:ascii="宋体" w:hAnsi="宋体" w:cs="宋体"/>
          <w:color w:val="auto"/>
          <w:highlight w:val="none"/>
        </w:rPr>
        <w:t>午</w:t>
      </w:r>
      <w:r>
        <w:rPr>
          <w:rFonts w:hint="eastAsia" w:ascii="宋体" w:hAnsi="宋体" w:cs="宋体"/>
          <w:color w:val="auto"/>
          <w:highlight w:val="none"/>
          <w:lang w:val="en-US" w:eastAsia="zh-CN"/>
        </w:rPr>
        <w:t>9</w:t>
      </w:r>
      <w:r>
        <w:rPr>
          <w:rFonts w:hint="eastAsia" w:ascii="宋体" w:hAnsi="宋体" w:cs="宋体"/>
          <w:color w:val="auto"/>
          <w:highlight w:val="none"/>
        </w:rPr>
        <w:t>时</w:t>
      </w:r>
      <w:r>
        <w:rPr>
          <w:rFonts w:hint="eastAsia" w:ascii="宋体" w:hAnsi="宋体" w:cs="宋体"/>
          <w:color w:val="auto"/>
          <w:highlight w:val="none"/>
          <w:lang w:val="en-US" w:eastAsia="zh-CN"/>
        </w:rPr>
        <w:t>00</w:t>
      </w:r>
      <w:r>
        <w:rPr>
          <w:rFonts w:hint="eastAsia" w:ascii="宋体" w:hAnsi="宋体" w:cs="宋体"/>
          <w:color w:val="auto"/>
          <w:highlight w:val="none"/>
        </w:rPr>
        <w:t>分（北京时间）前递交投标文件。</w:t>
      </w:r>
    </w:p>
    <w:p w14:paraId="71935395">
      <w:pPr>
        <w:pStyle w:val="18"/>
        <w:keepNext w:val="0"/>
        <w:keepLines w:val="0"/>
        <w:pageBreakBefore w:val="0"/>
        <w:tabs>
          <w:tab w:val="left" w:pos="5250"/>
        </w:tabs>
        <w:kinsoku/>
        <w:wordWrap/>
        <w:overflowPunct/>
        <w:topLinePunct w:val="0"/>
        <w:autoSpaceDE/>
        <w:autoSpaceDN/>
        <w:bidi w:val="0"/>
        <w:adjustRightInd w:val="0"/>
        <w:snapToGrid w:val="0"/>
        <w:spacing w:line="440" w:lineRule="exact"/>
        <w:ind w:firstLine="480"/>
        <w:contextualSpacing/>
        <w:textAlignment w:val="auto"/>
        <w:rPr>
          <w:rFonts w:hint="eastAsia" w:ascii="宋体" w:hAnsi="宋体" w:eastAsia="宋体" w:cs="宋体"/>
          <w:color w:val="auto"/>
          <w:kern w:val="2"/>
          <w:sz w:val="24"/>
          <w:szCs w:val="24"/>
          <w:highlight w:val="none"/>
          <w:lang w:val="en-US" w:eastAsia="zh-CN" w:bidi="ar-SA"/>
        </w:rPr>
      </w:pPr>
      <w:bookmarkStart w:id="14" w:name="_Toc28359012"/>
      <w:bookmarkStart w:id="15" w:name="_Toc35393798"/>
      <w:bookmarkStart w:id="16" w:name="_Toc28359089"/>
      <w:bookmarkStart w:id="17" w:name="_Toc35393629"/>
      <w:r>
        <w:rPr>
          <w:rFonts w:hint="eastAsia" w:ascii="宋体" w:hAnsi="宋体" w:eastAsia="宋体" w:cs="宋体"/>
          <w:color w:val="auto"/>
          <w:kern w:val="2"/>
          <w:sz w:val="24"/>
          <w:szCs w:val="24"/>
          <w:highlight w:val="none"/>
          <w:lang w:val="en-US" w:eastAsia="zh-CN" w:bidi="ar-SA"/>
        </w:rPr>
        <w:t>一、项目基本情况</w:t>
      </w:r>
      <w:bookmarkEnd w:id="14"/>
      <w:bookmarkEnd w:id="15"/>
      <w:bookmarkEnd w:id="16"/>
      <w:bookmarkEnd w:id="17"/>
    </w:p>
    <w:p w14:paraId="3BFA8226">
      <w:pPr>
        <w:pStyle w:val="18"/>
        <w:keepNext w:val="0"/>
        <w:keepLines w:val="0"/>
        <w:pageBreakBefore w:val="0"/>
        <w:tabs>
          <w:tab w:val="left" w:pos="5250"/>
        </w:tabs>
        <w:kinsoku/>
        <w:wordWrap/>
        <w:overflowPunct/>
        <w:topLinePunct w:val="0"/>
        <w:autoSpaceDE/>
        <w:autoSpaceDN/>
        <w:bidi w:val="0"/>
        <w:adjustRightInd w:val="0"/>
        <w:snapToGrid w:val="0"/>
        <w:spacing w:line="440" w:lineRule="exact"/>
        <w:ind w:firstLine="480"/>
        <w:contextualSpacing/>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1.项目名称：如东县政务中心食堂厨房设备采购及安装项目。</w:t>
      </w:r>
    </w:p>
    <w:p w14:paraId="145FD1EF">
      <w:pPr>
        <w:pStyle w:val="18"/>
        <w:keepNext w:val="0"/>
        <w:keepLines w:val="0"/>
        <w:pageBreakBefore w:val="0"/>
        <w:tabs>
          <w:tab w:val="left" w:pos="5250"/>
        </w:tabs>
        <w:kinsoku/>
        <w:wordWrap/>
        <w:overflowPunct/>
        <w:topLinePunct w:val="0"/>
        <w:autoSpaceDE/>
        <w:autoSpaceDN/>
        <w:bidi w:val="0"/>
        <w:adjustRightInd w:val="0"/>
        <w:snapToGrid w:val="0"/>
        <w:spacing w:line="440" w:lineRule="exact"/>
        <w:ind w:firstLine="480"/>
        <w:contextualSpacing/>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2.采购方式：竞争性磋商。</w:t>
      </w:r>
    </w:p>
    <w:p w14:paraId="3B058768">
      <w:pPr>
        <w:pStyle w:val="18"/>
        <w:keepNext w:val="0"/>
        <w:keepLines w:val="0"/>
        <w:pageBreakBefore w:val="0"/>
        <w:tabs>
          <w:tab w:val="left" w:pos="5250"/>
        </w:tabs>
        <w:kinsoku/>
        <w:wordWrap/>
        <w:overflowPunct/>
        <w:topLinePunct w:val="0"/>
        <w:autoSpaceDE/>
        <w:autoSpaceDN/>
        <w:bidi w:val="0"/>
        <w:adjustRightInd w:val="0"/>
        <w:snapToGrid w:val="0"/>
        <w:spacing w:line="440" w:lineRule="exact"/>
        <w:ind w:firstLine="480"/>
        <w:contextualSpacing/>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3.采购需求：具体内容详见采购文件，请仔细研究。</w:t>
      </w:r>
    </w:p>
    <w:p w14:paraId="5001803D">
      <w:pPr>
        <w:pStyle w:val="18"/>
        <w:keepNext w:val="0"/>
        <w:keepLines w:val="0"/>
        <w:pageBreakBefore w:val="0"/>
        <w:tabs>
          <w:tab w:val="left" w:pos="5250"/>
        </w:tabs>
        <w:kinsoku/>
        <w:wordWrap/>
        <w:overflowPunct/>
        <w:topLinePunct w:val="0"/>
        <w:autoSpaceDE/>
        <w:autoSpaceDN/>
        <w:bidi w:val="0"/>
        <w:adjustRightInd w:val="0"/>
        <w:snapToGrid w:val="0"/>
        <w:spacing w:line="440" w:lineRule="exact"/>
        <w:ind w:firstLine="480"/>
        <w:contextualSpacing/>
        <w:textAlignment w:val="auto"/>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4.供货期限：自合同签订之日起15个日历天内</w:t>
      </w:r>
      <w:r>
        <w:rPr>
          <w:rFonts w:hint="eastAsia" w:ascii="宋体" w:hAnsi="宋体" w:eastAsia="宋体" w:cs="宋体"/>
          <w:color w:val="auto"/>
          <w:kern w:val="2"/>
          <w:sz w:val="24"/>
          <w:szCs w:val="24"/>
          <w:highlight w:val="none"/>
          <w:lang w:val="en-US" w:eastAsia="zh-CN" w:bidi="ar-SA"/>
        </w:rPr>
        <w:t xml:space="preserve">，完成所有厨房设备的生产、供货、安装并调试后，一次性通过验收并验收合格。 </w:t>
      </w:r>
      <w:r>
        <w:rPr>
          <w:rFonts w:hint="eastAsia" w:ascii="宋体" w:hAnsi="宋体" w:eastAsia="宋体" w:cs="宋体"/>
          <w:color w:val="0000FF"/>
          <w:kern w:val="2"/>
          <w:sz w:val="24"/>
          <w:szCs w:val="24"/>
          <w:highlight w:val="none"/>
          <w:lang w:val="en-US" w:eastAsia="zh-CN" w:bidi="ar-SA"/>
        </w:rPr>
        <w:t xml:space="preserve">  </w:t>
      </w:r>
    </w:p>
    <w:p w14:paraId="64AFB65D">
      <w:pPr>
        <w:pStyle w:val="18"/>
        <w:keepNext w:val="0"/>
        <w:keepLines w:val="0"/>
        <w:pageBreakBefore w:val="0"/>
        <w:tabs>
          <w:tab w:val="left" w:pos="5250"/>
        </w:tabs>
        <w:kinsoku/>
        <w:wordWrap/>
        <w:overflowPunct/>
        <w:topLinePunct w:val="0"/>
        <w:autoSpaceDE/>
        <w:autoSpaceDN/>
        <w:bidi w:val="0"/>
        <w:adjustRightInd w:val="0"/>
        <w:snapToGrid w:val="0"/>
        <w:spacing w:line="440" w:lineRule="exact"/>
        <w:ind w:firstLine="480"/>
        <w:contextualSpacing/>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5.最高限价（控制价）：8.1万元，最终报价超过投标限价的为无效投标。</w:t>
      </w:r>
    </w:p>
    <w:p w14:paraId="2D57FD37">
      <w:pPr>
        <w:pStyle w:val="18"/>
        <w:keepNext w:val="0"/>
        <w:keepLines w:val="0"/>
        <w:pageBreakBefore w:val="0"/>
        <w:tabs>
          <w:tab w:val="left" w:pos="5250"/>
        </w:tabs>
        <w:kinsoku/>
        <w:wordWrap/>
        <w:overflowPunct/>
        <w:topLinePunct w:val="0"/>
        <w:autoSpaceDE/>
        <w:autoSpaceDN/>
        <w:bidi w:val="0"/>
        <w:adjustRightInd w:val="0"/>
        <w:snapToGrid w:val="0"/>
        <w:spacing w:line="440" w:lineRule="exact"/>
        <w:ind w:firstLine="480"/>
        <w:contextualSpacing/>
        <w:textAlignment w:val="auto"/>
        <w:rPr>
          <w:rFonts w:hint="eastAsia" w:ascii="宋体" w:hAnsi="宋体" w:eastAsia="宋体" w:cs="宋体"/>
          <w:color w:val="auto"/>
          <w:kern w:val="2"/>
          <w:sz w:val="24"/>
          <w:szCs w:val="24"/>
          <w:highlight w:val="none"/>
          <w:lang w:val="en-US" w:eastAsia="zh-CN" w:bidi="ar-SA"/>
        </w:rPr>
      </w:pPr>
      <w:bookmarkStart w:id="18" w:name="_Toc35393799"/>
      <w:bookmarkStart w:id="19" w:name="_Toc35393630"/>
      <w:bookmarkStart w:id="20" w:name="_Toc28359013"/>
      <w:bookmarkStart w:id="21" w:name="_Toc28359090"/>
      <w:r>
        <w:rPr>
          <w:rFonts w:hint="eastAsia" w:ascii="宋体" w:hAnsi="宋体" w:eastAsia="宋体" w:cs="宋体"/>
          <w:color w:val="auto"/>
          <w:kern w:val="2"/>
          <w:sz w:val="24"/>
          <w:szCs w:val="24"/>
          <w:highlight w:val="none"/>
          <w:lang w:val="en-US" w:eastAsia="zh-CN" w:bidi="ar-SA"/>
        </w:rPr>
        <w:t>6.本项目不接受联合体投标。</w:t>
      </w:r>
    </w:p>
    <w:p w14:paraId="2399EB8B">
      <w:pPr>
        <w:keepNext w:val="0"/>
        <w:keepLines w:val="0"/>
        <w:pageBreakBefore w:val="0"/>
        <w:kinsoku/>
        <w:wordWrap/>
        <w:overflowPunct/>
        <w:topLinePunct w:val="0"/>
        <w:autoSpaceDE/>
        <w:autoSpaceDN/>
        <w:bidi w:val="0"/>
        <w:adjustRightInd w:val="0"/>
        <w:snapToGrid w:val="0"/>
        <w:spacing w:line="440" w:lineRule="exact"/>
        <w:ind w:firstLine="482"/>
        <w:textAlignment w:val="auto"/>
        <w:rPr>
          <w:rFonts w:ascii="宋体" w:hAnsi="宋体" w:cs="宋体"/>
          <w:b/>
          <w:bCs/>
          <w:color w:val="auto"/>
          <w:highlight w:val="none"/>
        </w:rPr>
      </w:pPr>
      <w:r>
        <w:rPr>
          <w:rFonts w:hint="eastAsia" w:ascii="宋体" w:hAnsi="宋体" w:cs="宋体"/>
          <w:b/>
          <w:bCs/>
          <w:color w:val="auto"/>
          <w:highlight w:val="none"/>
        </w:rPr>
        <w:t>二、申请人的资格要求：</w:t>
      </w:r>
      <w:bookmarkEnd w:id="18"/>
      <w:bookmarkEnd w:id="19"/>
      <w:bookmarkEnd w:id="20"/>
      <w:bookmarkEnd w:id="21"/>
    </w:p>
    <w:p w14:paraId="62EDEEB0">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cs="宋体"/>
          <w:color w:val="auto"/>
          <w:highlight w:val="none"/>
        </w:rPr>
      </w:pPr>
      <w:bookmarkStart w:id="22" w:name="_Toc35393631"/>
      <w:bookmarkStart w:id="23" w:name="_Toc35393800"/>
      <w:bookmarkStart w:id="24" w:name="_Toc35393636"/>
      <w:bookmarkStart w:id="25" w:name="_Toc35393805"/>
      <w:bookmarkStart w:id="26" w:name="_Toc28359095"/>
      <w:bookmarkStart w:id="27" w:name="_Toc28359018"/>
      <w:r>
        <w:rPr>
          <w:rFonts w:hint="eastAsia" w:ascii="宋体" w:hAnsi="宋体" w:cs="宋体"/>
          <w:color w:val="auto"/>
          <w:highlight w:val="none"/>
        </w:rPr>
        <w:t>1.满足《中华人民共和国政府采购法》第二十二条规定。</w:t>
      </w:r>
    </w:p>
    <w:p w14:paraId="5CEAC2CF">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cs="宋体"/>
          <w:color w:val="auto"/>
          <w:highlight w:val="none"/>
        </w:rPr>
      </w:pPr>
      <w:r>
        <w:rPr>
          <w:rFonts w:hint="eastAsia" w:ascii="宋体" w:hAnsi="宋体" w:cs="宋体"/>
          <w:color w:val="auto"/>
          <w:highlight w:val="none"/>
        </w:rPr>
        <w:t>2.未被“信用中国”网站列入失信被执行人、重大税收违法案件当事人名单、政府采购严重失信行为记录名单。</w:t>
      </w:r>
    </w:p>
    <w:p w14:paraId="4A1EE996">
      <w:pPr>
        <w:pStyle w:val="18"/>
        <w:keepNext w:val="0"/>
        <w:keepLines w:val="0"/>
        <w:pageBreakBefore w:val="0"/>
        <w:tabs>
          <w:tab w:val="left" w:pos="5250"/>
        </w:tabs>
        <w:kinsoku/>
        <w:wordWrap/>
        <w:overflowPunct/>
        <w:topLinePunct w:val="0"/>
        <w:autoSpaceDE/>
        <w:autoSpaceDN/>
        <w:bidi w:val="0"/>
        <w:adjustRightInd w:val="0"/>
        <w:snapToGrid w:val="0"/>
        <w:spacing w:line="440" w:lineRule="exact"/>
        <w:ind w:firstLine="480"/>
        <w:contextualSpacing/>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3.本项目的特定资格要求：无。</w:t>
      </w:r>
    </w:p>
    <w:p w14:paraId="00348B5A">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rPr>
        <w:t>4.落实政府采购政策需满足的资格要求：无</w:t>
      </w:r>
      <w:r>
        <w:rPr>
          <w:rFonts w:hint="eastAsia" w:ascii="宋体" w:hAnsi="宋体" w:cs="宋体"/>
          <w:color w:val="auto"/>
          <w:highlight w:val="none"/>
          <w:lang w:eastAsia="zh-CN"/>
        </w:rPr>
        <w:t>。</w:t>
      </w:r>
    </w:p>
    <w:bookmarkEnd w:id="22"/>
    <w:bookmarkEnd w:id="23"/>
    <w:p w14:paraId="7AD2B5FC">
      <w:pPr>
        <w:keepNext w:val="0"/>
        <w:keepLines w:val="0"/>
        <w:pageBreakBefore w:val="0"/>
        <w:kinsoku/>
        <w:wordWrap/>
        <w:overflowPunct/>
        <w:topLinePunct w:val="0"/>
        <w:autoSpaceDE/>
        <w:autoSpaceDN/>
        <w:bidi w:val="0"/>
        <w:adjustRightInd w:val="0"/>
        <w:snapToGrid w:val="0"/>
        <w:spacing w:line="440" w:lineRule="exact"/>
        <w:ind w:firstLine="482"/>
        <w:textAlignment w:val="auto"/>
        <w:rPr>
          <w:rFonts w:ascii="宋体" w:hAnsi="宋体" w:cs="宋体"/>
          <w:b/>
          <w:bCs/>
          <w:color w:val="auto"/>
          <w:highlight w:val="none"/>
        </w:rPr>
      </w:pPr>
      <w:bookmarkStart w:id="28" w:name="_Toc35393801"/>
      <w:bookmarkStart w:id="29" w:name="_Toc28359015"/>
      <w:bookmarkStart w:id="30" w:name="_Toc28359092"/>
      <w:bookmarkStart w:id="31" w:name="_Toc35393632"/>
      <w:r>
        <w:rPr>
          <w:rFonts w:hint="eastAsia" w:ascii="宋体" w:hAnsi="宋体" w:cs="宋体"/>
          <w:b/>
          <w:bCs/>
          <w:color w:val="auto"/>
          <w:highlight w:val="none"/>
        </w:rPr>
        <w:t>三、获取采购文件</w:t>
      </w:r>
    </w:p>
    <w:p w14:paraId="009C90E5">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jc w:val="left"/>
        <w:textAlignment w:val="auto"/>
        <w:rPr>
          <w:rFonts w:ascii="宋体" w:hAnsi="宋体" w:cs="宋体"/>
          <w:color w:val="auto"/>
          <w:highlight w:val="none"/>
        </w:rPr>
      </w:pPr>
      <w:r>
        <w:rPr>
          <w:rFonts w:hint="eastAsia" w:ascii="宋体" w:hAnsi="宋体" w:cs="宋体"/>
          <w:color w:val="auto"/>
          <w:highlight w:val="none"/>
        </w:rPr>
        <w:t>1.时间：</w:t>
      </w:r>
      <w:r>
        <w:rPr>
          <w:rFonts w:hint="eastAsia" w:ascii="宋体" w:hAnsi="宋体" w:cs="宋体"/>
          <w:color w:val="auto"/>
          <w:highlight w:val="none"/>
          <w:lang w:val="en-US" w:eastAsia="zh-CN"/>
        </w:rPr>
        <w:t>自公告发布之日起</w:t>
      </w:r>
      <w:r>
        <w:rPr>
          <w:rFonts w:hint="eastAsia" w:ascii="宋体" w:hAnsi="宋体" w:cs="宋体"/>
          <w:color w:val="auto"/>
          <w:highlight w:val="none"/>
        </w:rPr>
        <w:t>至202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10</w:t>
      </w:r>
      <w:r>
        <w:rPr>
          <w:rFonts w:hint="eastAsia" w:ascii="宋体" w:hAnsi="宋体" w:cs="宋体"/>
          <w:color w:val="auto"/>
          <w:highlight w:val="none"/>
        </w:rPr>
        <w:t>月</w:t>
      </w:r>
      <w:r>
        <w:rPr>
          <w:rFonts w:hint="eastAsia" w:ascii="宋体" w:hAnsi="宋体" w:cs="宋体"/>
          <w:color w:val="auto"/>
          <w:highlight w:val="none"/>
          <w:lang w:val="en-US" w:eastAsia="zh-CN"/>
        </w:rPr>
        <w:t>27</w:t>
      </w:r>
      <w:r>
        <w:rPr>
          <w:rFonts w:hint="eastAsia" w:ascii="宋体" w:hAnsi="宋体" w:cs="宋体"/>
          <w:color w:val="auto"/>
          <w:highlight w:val="none"/>
        </w:rPr>
        <w:t>日</w:t>
      </w:r>
    </w:p>
    <w:p w14:paraId="116F44EF">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jc w:val="left"/>
        <w:textAlignment w:val="auto"/>
        <w:rPr>
          <w:rFonts w:ascii="宋体" w:hAnsi="宋体" w:cs="宋体"/>
          <w:color w:val="auto"/>
          <w:highlight w:val="none"/>
          <w:shd w:val="clear" w:color="auto" w:fill="FFFFFF"/>
        </w:rPr>
      </w:pPr>
      <w:r>
        <w:rPr>
          <w:rFonts w:hint="eastAsia" w:ascii="宋体" w:hAnsi="宋体" w:cs="宋体"/>
          <w:color w:val="auto"/>
          <w:highlight w:val="none"/>
        </w:rPr>
        <w:t>2.地点：</w:t>
      </w:r>
      <w:r>
        <w:rPr>
          <w:rFonts w:hint="eastAsia" w:ascii="宋体" w:hAnsi="宋体" w:cs="宋体"/>
          <w:color w:val="auto"/>
          <w:highlight w:val="none"/>
          <w:shd w:val="clear" w:color="auto" w:fill="FFFFFF"/>
        </w:rPr>
        <w:t>“</w:t>
      </w:r>
      <w:r>
        <w:rPr>
          <w:rFonts w:hint="eastAsia" w:ascii="宋体" w:hAnsi="宋体" w:cs="宋体"/>
          <w:color w:val="auto"/>
          <w:highlight w:val="none"/>
          <w:shd w:val="clear" w:color="auto" w:fill="FFFFFF"/>
          <w:lang w:eastAsia="zh-CN"/>
        </w:rPr>
        <w:t>如东县限额交易平台</w:t>
      </w:r>
      <w:r>
        <w:rPr>
          <w:rFonts w:hint="eastAsia" w:ascii="宋体" w:hAnsi="宋体" w:cs="宋体"/>
          <w:color w:val="auto"/>
          <w:highlight w:val="none"/>
          <w:shd w:val="clear" w:color="auto" w:fill="FFFFFF"/>
        </w:rPr>
        <w:t>”</w:t>
      </w:r>
    </w:p>
    <w:p w14:paraId="74B450F3">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jc w:val="left"/>
        <w:textAlignment w:val="auto"/>
        <w:rPr>
          <w:rFonts w:ascii="宋体" w:hAnsi="宋体" w:cs="宋体"/>
          <w:color w:val="auto"/>
          <w:kern w:val="0"/>
          <w:highlight w:val="none"/>
        </w:rPr>
      </w:pPr>
      <w:r>
        <w:rPr>
          <w:rFonts w:hint="eastAsia" w:ascii="宋体" w:hAnsi="宋体" w:cs="宋体"/>
          <w:color w:val="auto"/>
          <w:highlight w:val="none"/>
        </w:rPr>
        <w:t>3.方式：</w:t>
      </w:r>
      <w:r>
        <w:rPr>
          <w:rFonts w:hint="eastAsia" w:ascii="宋体" w:hAnsi="宋体" w:cs="宋体"/>
          <w:color w:val="auto"/>
          <w:highlight w:val="none"/>
          <w:shd w:val="clear" w:color="auto" w:fill="FFFFFF"/>
        </w:rPr>
        <w:t>凡有意参与投标的供应商须登录“</w:t>
      </w:r>
      <w:r>
        <w:rPr>
          <w:rFonts w:hint="eastAsia" w:ascii="宋体" w:hAnsi="宋体" w:cs="宋体"/>
          <w:color w:val="auto"/>
          <w:highlight w:val="none"/>
          <w:shd w:val="clear" w:color="auto" w:fill="FFFFFF"/>
          <w:lang w:eastAsia="zh-CN"/>
        </w:rPr>
        <w:t>如东县限额交易平台</w:t>
      </w:r>
      <w:r>
        <w:rPr>
          <w:rFonts w:hint="eastAsia" w:ascii="宋体" w:hAnsi="宋体" w:cs="宋体"/>
          <w:color w:val="auto"/>
          <w:highlight w:val="none"/>
          <w:shd w:val="clear" w:color="auto" w:fill="FFFFFF"/>
        </w:rPr>
        <w:t>”，并自行下载招标文件。</w:t>
      </w:r>
    </w:p>
    <w:bookmarkEnd w:id="24"/>
    <w:bookmarkEnd w:id="25"/>
    <w:bookmarkEnd w:id="26"/>
    <w:bookmarkEnd w:id="27"/>
    <w:bookmarkEnd w:id="28"/>
    <w:bookmarkEnd w:id="29"/>
    <w:bookmarkEnd w:id="30"/>
    <w:bookmarkEnd w:id="31"/>
    <w:p w14:paraId="44927499">
      <w:pPr>
        <w:keepNext w:val="0"/>
        <w:keepLines w:val="0"/>
        <w:pageBreakBefore w:val="0"/>
        <w:kinsoku/>
        <w:wordWrap/>
        <w:overflowPunct/>
        <w:topLinePunct w:val="0"/>
        <w:autoSpaceDE/>
        <w:autoSpaceDN/>
        <w:bidi w:val="0"/>
        <w:adjustRightInd w:val="0"/>
        <w:snapToGrid w:val="0"/>
        <w:spacing w:line="440" w:lineRule="exact"/>
        <w:ind w:firstLine="482"/>
        <w:textAlignment w:val="auto"/>
        <w:rPr>
          <w:rFonts w:ascii="宋体" w:hAnsi="宋体" w:cs="宋体"/>
          <w:b/>
          <w:bCs/>
          <w:color w:val="auto"/>
          <w:highlight w:val="none"/>
        </w:rPr>
      </w:pPr>
      <w:r>
        <w:rPr>
          <w:rFonts w:hint="eastAsia" w:ascii="宋体" w:hAnsi="宋体" w:cs="宋体"/>
          <w:b/>
          <w:bCs/>
          <w:color w:val="auto"/>
          <w:highlight w:val="none"/>
        </w:rPr>
        <w:t>四、提交投标文件截止时间、开标时间和地点</w:t>
      </w:r>
    </w:p>
    <w:p w14:paraId="418FEC9F">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cs="宋体"/>
          <w:color w:val="auto"/>
          <w:highlight w:val="none"/>
        </w:rPr>
      </w:pPr>
      <w:r>
        <w:rPr>
          <w:rFonts w:hint="eastAsia" w:ascii="宋体" w:hAnsi="宋体" w:cs="宋体"/>
          <w:color w:val="auto"/>
          <w:highlight w:val="none"/>
        </w:rPr>
        <w:t>1.提交投标文件截止时间、开标时间</w:t>
      </w:r>
      <w:r>
        <w:rPr>
          <w:rFonts w:hint="eastAsia" w:ascii="宋体" w:hAnsi="宋体" w:cs="宋体"/>
          <w:b/>
          <w:color w:val="auto"/>
          <w:highlight w:val="none"/>
        </w:rPr>
        <w:t>：202</w:t>
      </w:r>
      <w:r>
        <w:rPr>
          <w:rFonts w:hint="eastAsia" w:ascii="宋体" w:hAnsi="宋体" w:cs="宋体"/>
          <w:b/>
          <w:color w:val="auto"/>
          <w:highlight w:val="none"/>
          <w:lang w:val="en-US" w:eastAsia="zh-CN"/>
        </w:rPr>
        <w:t>5</w:t>
      </w:r>
      <w:r>
        <w:rPr>
          <w:rFonts w:hint="eastAsia" w:ascii="宋体" w:hAnsi="宋体" w:cs="宋体"/>
          <w:b/>
          <w:color w:val="auto"/>
          <w:highlight w:val="none"/>
        </w:rPr>
        <w:t>年</w:t>
      </w:r>
      <w:r>
        <w:rPr>
          <w:rFonts w:hint="eastAsia" w:ascii="宋体" w:hAnsi="宋体" w:cs="宋体"/>
          <w:b/>
          <w:color w:val="auto"/>
          <w:highlight w:val="none"/>
          <w:lang w:val="en-US" w:eastAsia="zh-CN"/>
        </w:rPr>
        <w:t>10</w:t>
      </w:r>
      <w:r>
        <w:rPr>
          <w:rFonts w:hint="eastAsia" w:ascii="宋体" w:hAnsi="宋体" w:cs="宋体"/>
          <w:b/>
          <w:color w:val="auto"/>
          <w:highlight w:val="none"/>
        </w:rPr>
        <w:t>月</w:t>
      </w:r>
      <w:r>
        <w:rPr>
          <w:rFonts w:hint="eastAsia" w:ascii="宋体" w:hAnsi="宋体" w:cs="宋体"/>
          <w:b/>
          <w:color w:val="auto"/>
          <w:highlight w:val="none"/>
          <w:lang w:val="en-US" w:eastAsia="zh-CN"/>
        </w:rPr>
        <w:t>27</w:t>
      </w:r>
      <w:r>
        <w:rPr>
          <w:rFonts w:hint="eastAsia" w:ascii="宋体" w:hAnsi="宋体" w:cs="宋体"/>
          <w:b/>
          <w:color w:val="auto"/>
          <w:highlight w:val="none"/>
        </w:rPr>
        <w:t>日</w:t>
      </w:r>
      <w:r>
        <w:rPr>
          <w:rFonts w:hint="eastAsia" w:ascii="宋体" w:hAnsi="宋体" w:cs="宋体"/>
          <w:b/>
          <w:color w:val="auto"/>
          <w:highlight w:val="none"/>
          <w:lang w:val="en-US" w:eastAsia="zh-CN"/>
        </w:rPr>
        <w:t>上</w:t>
      </w:r>
      <w:r>
        <w:rPr>
          <w:rFonts w:hint="eastAsia" w:ascii="宋体" w:hAnsi="宋体" w:cs="宋体"/>
          <w:b/>
          <w:color w:val="auto"/>
          <w:highlight w:val="none"/>
        </w:rPr>
        <w:t>午</w:t>
      </w:r>
      <w:r>
        <w:rPr>
          <w:rFonts w:hint="eastAsia" w:ascii="宋体" w:hAnsi="宋体" w:cs="宋体"/>
          <w:b/>
          <w:color w:val="auto"/>
          <w:highlight w:val="none"/>
          <w:lang w:val="en-US" w:eastAsia="zh-CN"/>
        </w:rPr>
        <w:t>9</w:t>
      </w:r>
      <w:r>
        <w:rPr>
          <w:rFonts w:hint="eastAsia" w:ascii="宋体" w:hAnsi="宋体" w:cs="宋体"/>
          <w:b/>
          <w:color w:val="auto"/>
          <w:highlight w:val="none"/>
        </w:rPr>
        <w:t>时</w:t>
      </w:r>
      <w:r>
        <w:rPr>
          <w:rFonts w:hint="eastAsia" w:ascii="宋体" w:hAnsi="宋体" w:cs="宋体"/>
          <w:b/>
          <w:color w:val="auto"/>
          <w:highlight w:val="none"/>
          <w:lang w:val="en-US" w:eastAsia="zh-CN"/>
        </w:rPr>
        <w:t>00</w:t>
      </w:r>
      <w:r>
        <w:rPr>
          <w:rFonts w:hint="eastAsia" w:ascii="宋体" w:hAnsi="宋体" w:cs="宋体"/>
          <w:b/>
          <w:color w:val="auto"/>
          <w:highlight w:val="none"/>
        </w:rPr>
        <w:t>分</w:t>
      </w:r>
      <w:r>
        <w:rPr>
          <w:rFonts w:hint="eastAsia" w:ascii="宋体" w:hAnsi="宋体" w:cs="宋体"/>
          <w:color w:val="auto"/>
          <w:highlight w:val="none"/>
          <w:shd w:val="clear" w:color="auto" w:fill="FFFFFF"/>
        </w:rPr>
        <w:t>（北京时间）</w:t>
      </w:r>
      <w:r>
        <w:rPr>
          <w:rFonts w:hint="eastAsia" w:ascii="宋体" w:hAnsi="宋体" w:cs="宋体"/>
          <w:color w:val="auto"/>
          <w:highlight w:val="none"/>
        </w:rPr>
        <w:t>。</w:t>
      </w:r>
    </w:p>
    <w:p w14:paraId="49755DD6">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2.地点：如东县机关事务服务中心</w:t>
      </w:r>
      <w:r>
        <w:rPr>
          <w:rFonts w:hint="eastAsia" w:ascii="宋体" w:hAnsi="宋体" w:cs="宋体"/>
          <w:color w:val="auto"/>
          <w:highlight w:val="none"/>
          <w:shd w:val="clear" w:color="auto" w:fill="FFFFFF"/>
          <w:lang w:val="en-US" w:eastAsia="zh-CN"/>
        </w:rPr>
        <w:t>50305</w:t>
      </w:r>
      <w:r>
        <w:rPr>
          <w:rFonts w:hint="eastAsia" w:ascii="宋体" w:hAnsi="宋体" w:cs="宋体"/>
          <w:color w:val="auto"/>
          <w:highlight w:val="none"/>
          <w:shd w:val="clear" w:color="auto" w:fill="FFFFFF"/>
        </w:rPr>
        <w:t>室。</w:t>
      </w:r>
    </w:p>
    <w:p w14:paraId="369DBEEC">
      <w:pPr>
        <w:keepNext w:val="0"/>
        <w:keepLines w:val="0"/>
        <w:pageBreakBefore w:val="0"/>
        <w:kinsoku/>
        <w:wordWrap/>
        <w:overflowPunct/>
        <w:topLinePunct w:val="0"/>
        <w:autoSpaceDE/>
        <w:autoSpaceDN/>
        <w:bidi w:val="0"/>
        <w:adjustRightInd w:val="0"/>
        <w:snapToGrid w:val="0"/>
        <w:spacing w:line="440" w:lineRule="exact"/>
        <w:ind w:firstLine="482"/>
        <w:textAlignment w:val="auto"/>
        <w:rPr>
          <w:rFonts w:ascii="宋体" w:hAnsi="宋体" w:cs="宋体"/>
          <w:b/>
          <w:color w:val="auto"/>
          <w:highlight w:val="none"/>
        </w:rPr>
      </w:pPr>
      <w:r>
        <w:rPr>
          <w:rFonts w:hint="eastAsia" w:ascii="宋体" w:hAnsi="宋体" w:cs="宋体"/>
          <w:b/>
          <w:color w:val="auto"/>
          <w:highlight w:val="none"/>
        </w:rPr>
        <w:t>五、公告期限</w:t>
      </w:r>
    </w:p>
    <w:p w14:paraId="5CB237F4">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cs="宋体"/>
          <w:color w:val="auto"/>
          <w:highlight w:val="none"/>
        </w:rPr>
      </w:pPr>
      <w:r>
        <w:rPr>
          <w:rFonts w:hint="eastAsia" w:ascii="宋体" w:hAnsi="宋体" w:cs="宋体"/>
          <w:color w:val="auto"/>
          <w:highlight w:val="none"/>
        </w:rPr>
        <w:t>自本公告发布之日起10日。</w:t>
      </w:r>
    </w:p>
    <w:p w14:paraId="3C196BC6">
      <w:pPr>
        <w:keepNext w:val="0"/>
        <w:keepLines w:val="0"/>
        <w:pageBreakBefore w:val="0"/>
        <w:kinsoku/>
        <w:wordWrap/>
        <w:overflowPunct/>
        <w:topLinePunct w:val="0"/>
        <w:autoSpaceDE/>
        <w:autoSpaceDN/>
        <w:bidi w:val="0"/>
        <w:adjustRightInd w:val="0"/>
        <w:snapToGrid w:val="0"/>
        <w:spacing w:line="440" w:lineRule="exact"/>
        <w:ind w:firstLine="482"/>
        <w:textAlignment w:val="auto"/>
        <w:rPr>
          <w:rFonts w:ascii="宋体" w:hAnsi="宋体" w:cs="宋体"/>
          <w:b/>
          <w:color w:val="auto"/>
          <w:highlight w:val="none"/>
        </w:rPr>
      </w:pPr>
      <w:r>
        <w:rPr>
          <w:rFonts w:hint="eastAsia" w:ascii="宋体" w:hAnsi="宋体" w:cs="宋体"/>
          <w:b/>
          <w:color w:val="auto"/>
          <w:highlight w:val="none"/>
        </w:rPr>
        <w:t>六、其他补充事宜</w:t>
      </w:r>
    </w:p>
    <w:p w14:paraId="3648667E">
      <w:pPr>
        <w:keepNext w:val="0"/>
        <w:keepLines w:val="0"/>
        <w:pageBreakBefore w:val="0"/>
        <w:widowControl w:val="0"/>
        <w:kinsoku/>
        <w:wordWrap/>
        <w:overflowPunct/>
        <w:topLinePunct w:val="0"/>
        <w:autoSpaceDE/>
        <w:autoSpaceDN/>
        <w:bidi w:val="0"/>
        <w:adjustRightInd w:val="0"/>
        <w:snapToGrid w:val="0"/>
        <w:spacing w:line="440" w:lineRule="exact"/>
        <w:ind w:firstLine="482"/>
        <w:textAlignment w:val="auto"/>
        <w:rPr>
          <w:rFonts w:ascii="宋体" w:hAnsi="宋体" w:cs="宋体"/>
          <w:color w:val="auto"/>
          <w:highlight w:val="none"/>
        </w:rPr>
      </w:pPr>
      <w:r>
        <w:rPr>
          <w:rFonts w:hint="eastAsia" w:ascii="宋体" w:hAnsi="宋体" w:cs="宋体"/>
          <w:b/>
          <w:bCs/>
          <w:color w:val="auto"/>
          <w:highlight w:val="none"/>
        </w:rPr>
        <w:t>1.投标保证金：</w:t>
      </w:r>
      <w:r>
        <w:rPr>
          <w:rFonts w:hint="eastAsia" w:ascii="宋体" w:hAnsi="宋体" w:cs="宋体"/>
          <w:bCs/>
          <w:color w:val="auto"/>
          <w:highlight w:val="none"/>
        </w:rPr>
        <w:t>本项目不收取投标保证金。招标文件中涉及投标保证金的事项，均按免收投标保证金执行</w:t>
      </w:r>
      <w:r>
        <w:rPr>
          <w:rFonts w:hint="eastAsia" w:ascii="宋体" w:hAnsi="宋体" w:cs="宋体"/>
          <w:color w:val="auto"/>
          <w:highlight w:val="none"/>
        </w:rPr>
        <w:t>。</w:t>
      </w:r>
    </w:p>
    <w:p w14:paraId="1290C84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highlight w:val="none"/>
        </w:rPr>
      </w:pPr>
      <w:r>
        <w:rPr>
          <w:rFonts w:hint="eastAsia" w:ascii="宋体" w:hAnsi="宋体" w:cs="宋体"/>
          <w:color w:val="auto"/>
          <w:highlight w:val="none"/>
        </w:rPr>
        <w:t>2.对项目部分（供应商资格要求、项目要求、评分标准）的询问、质疑向采购人指出，由采购人答复。</w:t>
      </w:r>
    </w:p>
    <w:p w14:paraId="575FA009">
      <w:pPr>
        <w:keepNext w:val="0"/>
        <w:keepLines w:val="0"/>
        <w:pageBreakBefore w:val="0"/>
        <w:widowControl w:val="0"/>
        <w:kinsoku/>
        <w:wordWrap/>
        <w:overflowPunct/>
        <w:topLinePunct w:val="0"/>
        <w:autoSpaceDE/>
        <w:autoSpaceDN/>
        <w:bidi w:val="0"/>
        <w:adjustRightInd w:val="0"/>
        <w:snapToGrid w:val="0"/>
        <w:spacing w:line="440" w:lineRule="exact"/>
        <w:ind w:firstLine="482"/>
        <w:textAlignment w:val="auto"/>
        <w:rPr>
          <w:rFonts w:ascii="宋体" w:hAnsi="宋体" w:cs="宋体"/>
          <w:b/>
          <w:color w:val="auto"/>
          <w:highlight w:val="none"/>
        </w:rPr>
      </w:pPr>
      <w:r>
        <w:rPr>
          <w:rFonts w:hint="eastAsia" w:ascii="宋体" w:hAnsi="宋体" w:cs="宋体"/>
          <w:b/>
          <w:bCs/>
          <w:color w:val="auto"/>
          <w:highlight w:val="none"/>
          <w:lang w:val="en-US" w:eastAsia="zh-CN"/>
        </w:rPr>
        <w:t>3.</w:t>
      </w:r>
      <w:r>
        <w:rPr>
          <w:rFonts w:hint="eastAsia" w:ascii="宋体" w:hAnsi="宋体" w:cs="宋体"/>
          <w:b/>
          <w:bCs/>
          <w:color w:val="auto"/>
          <w:highlight w:val="none"/>
        </w:rPr>
        <w:t>特别提醒：</w:t>
      </w:r>
    </w:p>
    <w:p w14:paraId="0A8B501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.1.本项目投标人的资格审查采用资格后审方式，采购人不组织投标人对现场的集中踏勘，请各投标人自行踏勘现场。</w:t>
      </w:r>
    </w:p>
    <w:p w14:paraId="52E1C5CC">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cs="宋体"/>
          <w:b/>
          <w:bCs/>
          <w:color w:val="auto"/>
          <w:highlight w:val="none"/>
        </w:rPr>
      </w:pPr>
      <w:r>
        <w:rPr>
          <w:rFonts w:hint="eastAsia" w:ascii="宋体" w:hAnsi="宋体" w:cs="宋体"/>
          <w:b/>
          <w:bCs/>
          <w:color w:val="auto"/>
          <w:highlight w:val="none"/>
          <w:lang w:val="en-US" w:eastAsia="zh-CN"/>
        </w:rPr>
        <w:t>3</w:t>
      </w:r>
      <w:r>
        <w:rPr>
          <w:rFonts w:hint="eastAsia" w:ascii="宋体" w:hAnsi="宋体" w:cs="宋体"/>
          <w:b/>
          <w:bCs/>
          <w:color w:val="auto"/>
          <w:highlight w:val="none"/>
        </w:rPr>
        <w:t>.2.投标文件制作份数要求：正本份数：1份 ，副本份数：2份。</w:t>
      </w:r>
    </w:p>
    <w:p w14:paraId="3A6E01AB">
      <w:pPr>
        <w:keepNext w:val="0"/>
        <w:keepLines w:val="0"/>
        <w:pageBreakBefore w:val="0"/>
        <w:kinsoku/>
        <w:wordWrap/>
        <w:overflowPunct/>
        <w:topLinePunct w:val="0"/>
        <w:autoSpaceDE/>
        <w:autoSpaceDN/>
        <w:bidi w:val="0"/>
        <w:adjustRightInd w:val="0"/>
        <w:snapToGrid w:val="0"/>
        <w:spacing w:line="440" w:lineRule="exact"/>
        <w:ind w:firstLine="482"/>
        <w:textAlignment w:val="auto"/>
        <w:rPr>
          <w:rFonts w:ascii="宋体" w:hAnsi="宋体" w:cs="宋体"/>
          <w:b/>
          <w:color w:val="auto"/>
          <w:highlight w:val="none"/>
        </w:rPr>
      </w:pPr>
      <w:r>
        <w:rPr>
          <w:rFonts w:hint="eastAsia" w:ascii="宋体" w:hAnsi="宋体" w:cs="宋体"/>
          <w:b/>
          <w:color w:val="auto"/>
          <w:highlight w:val="none"/>
        </w:rPr>
        <w:t>七、对本次招标提出询问，请按以下方式联系。</w:t>
      </w:r>
    </w:p>
    <w:p w14:paraId="2942DFCE">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cs="宋体"/>
          <w:color w:val="auto"/>
          <w:highlight w:val="none"/>
        </w:rPr>
      </w:pPr>
      <w:r>
        <w:rPr>
          <w:rFonts w:hint="eastAsia" w:ascii="宋体" w:hAnsi="宋体" w:cs="宋体"/>
          <w:color w:val="auto"/>
          <w:highlight w:val="none"/>
        </w:rPr>
        <w:t>1.采购人信息</w:t>
      </w:r>
    </w:p>
    <w:p w14:paraId="05909DC8">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rPr>
        <w:t>名称：</w:t>
      </w:r>
      <w:r>
        <w:rPr>
          <w:rFonts w:hint="eastAsia" w:ascii="宋体" w:hAnsi="宋体" w:cs="宋体"/>
          <w:color w:val="auto"/>
          <w:highlight w:val="none"/>
          <w:lang w:eastAsia="zh-CN"/>
        </w:rPr>
        <w:t>如东县机关事务服务中心</w:t>
      </w:r>
    </w:p>
    <w:p w14:paraId="1801C120">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highlight w:val="none"/>
        </w:rPr>
      </w:pPr>
      <w:r>
        <w:rPr>
          <w:rFonts w:hint="eastAsia" w:ascii="宋体" w:hAnsi="宋体" w:cs="宋体"/>
          <w:color w:val="auto"/>
          <w:highlight w:val="none"/>
        </w:rPr>
        <w:t>地址：如东县掘港镇富春江路1号</w:t>
      </w:r>
    </w:p>
    <w:p w14:paraId="138E022D">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联系人：</w:t>
      </w:r>
      <w:r>
        <w:rPr>
          <w:rFonts w:hint="eastAsia" w:ascii="宋体" w:hAnsi="宋体" w:cs="宋体"/>
          <w:color w:val="auto"/>
          <w:highlight w:val="none"/>
          <w:lang w:val="en-US" w:eastAsia="zh-CN"/>
        </w:rPr>
        <w:t xml:space="preserve">丁志东    </w:t>
      </w:r>
      <w:r>
        <w:rPr>
          <w:rFonts w:hint="eastAsia" w:ascii="宋体" w:hAnsi="宋体" w:cs="宋体"/>
          <w:color w:val="auto"/>
          <w:highlight w:val="none"/>
          <w:lang w:eastAsia="zh-CN"/>
        </w:rPr>
        <w:t xml:space="preserve">                 </w:t>
      </w:r>
    </w:p>
    <w:p w14:paraId="2FCDCC94">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highlight w:val="none"/>
        </w:rPr>
      </w:pPr>
      <w:r>
        <w:rPr>
          <w:rFonts w:hint="eastAsia" w:ascii="宋体" w:hAnsi="宋体" w:cs="宋体"/>
          <w:color w:val="auto"/>
          <w:highlight w:val="none"/>
          <w:lang w:eastAsia="zh-CN"/>
        </w:rPr>
        <w:t>电话：15996682005</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p>
    <w:bookmarkEnd w:id="1"/>
    <w:bookmarkEnd w:id="2"/>
    <w:bookmarkEnd w:id="3"/>
    <w:bookmarkEnd w:id="4"/>
    <w:bookmarkEnd w:id="5"/>
    <w:bookmarkEnd w:id="8"/>
    <w:bookmarkEnd w:id="9"/>
    <w:bookmarkEnd w:id="10"/>
    <w:bookmarkEnd w:id="11"/>
    <w:p w14:paraId="622E7FA5">
      <w:pPr>
        <w:pStyle w:val="2"/>
        <w:keepNext w:val="0"/>
        <w:rPr>
          <w:rFonts w:hint="eastAsia" w:ascii="宋体" w:hAnsi="宋体" w:cs="宋体"/>
          <w:color w:val="auto"/>
          <w:sz w:val="40"/>
          <w:highlight w:val="none"/>
        </w:rPr>
        <w:sectPr>
          <w:headerReference r:id="rId12" w:type="first"/>
          <w:footerReference r:id="rId14" w:type="first"/>
          <w:headerReference r:id="rId11" w:type="default"/>
          <w:footerReference r:id="rId13" w:type="default"/>
          <w:pgSz w:w="11907" w:h="16838"/>
          <w:pgMar w:top="1418" w:right="1129" w:bottom="1418" w:left="1278" w:header="851" w:footer="992" w:gutter="0"/>
          <w:pgNumType w:fmt="decimal"/>
          <w:cols w:space="720" w:num="1"/>
          <w:titlePg/>
          <w:docGrid w:linePitch="318" w:charSpace="0"/>
        </w:sectPr>
      </w:pPr>
      <w:bookmarkStart w:id="32" w:name="_Toc109381853"/>
      <w:bookmarkStart w:id="33" w:name="_Toc124108546"/>
      <w:bookmarkStart w:id="34" w:name="_Toc513029237"/>
      <w:bookmarkStart w:id="35" w:name="_Toc16938553"/>
      <w:bookmarkStart w:id="36" w:name="_Toc49090508"/>
      <w:bookmarkStart w:id="37" w:name="_Toc20823309"/>
      <w:bookmarkStart w:id="38" w:name="_Toc14577355"/>
      <w:bookmarkStart w:id="75" w:name="_GoBack"/>
      <w:bookmarkEnd w:id="75"/>
    </w:p>
    <w:p w14:paraId="05A16D6F">
      <w:pPr>
        <w:pStyle w:val="2"/>
        <w:keepNext w:val="0"/>
        <w:rPr>
          <w:rFonts w:ascii="宋体" w:hAnsi="宋体" w:cs="宋体"/>
          <w:color w:val="auto"/>
          <w:sz w:val="40"/>
          <w:highlight w:val="none"/>
        </w:rPr>
      </w:pPr>
      <w:r>
        <w:rPr>
          <w:rFonts w:hint="eastAsia" w:ascii="宋体" w:hAnsi="宋体" w:cs="宋体"/>
          <w:color w:val="auto"/>
          <w:sz w:val="40"/>
          <w:highlight w:val="none"/>
        </w:rPr>
        <w:t xml:space="preserve">第二章  </w:t>
      </w:r>
      <w:bookmarkStart w:id="39" w:name="_Toc16938518"/>
      <w:bookmarkStart w:id="40" w:name="_Toc20823274"/>
      <w:bookmarkStart w:id="41" w:name="_Toc513029202"/>
      <w:bookmarkStart w:id="42" w:name="_Toc120614213"/>
      <w:r>
        <w:rPr>
          <w:rFonts w:hint="eastAsia" w:ascii="宋体" w:hAnsi="宋体" w:cs="宋体"/>
          <w:color w:val="auto"/>
          <w:sz w:val="40"/>
          <w:highlight w:val="none"/>
        </w:rPr>
        <w:t>供应商须知</w:t>
      </w:r>
      <w:bookmarkEnd w:id="32"/>
      <w:bookmarkEnd w:id="33"/>
      <w:bookmarkEnd w:id="39"/>
      <w:bookmarkEnd w:id="40"/>
      <w:bookmarkEnd w:id="41"/>
      <w:bookmarkEnd w:id="42"/>
    </w:p>
    <w:bookmarkEnd w:id="34"/>
    <w:bookmarkEnd w:id="35"/>
    <w:bookmarkEnd w:id="36"/>
    <w:bookmarkEnd w:id="37"/>
    <w:bookmarkEnd w:id="38"/>
    <w:p w14:paraId="56C19D4B">
      <w:pPr>
        <w:pStyle w:val="200"/>
        <w:pageBreakBefore w:val="0"/>
        <w:tabs>
          <w:tab w:val="clear" w:pos="720"/>
        </w:tabs>
        <w:kinsoku/>
        <w:wordWrap/>
        <w:overflowPunct/>
        <w:topLinePunct w:val="0"/>
        <w:autoSpaceDE/>
        <w:autoSpaceDN/>
        <w:bidi w:val="0"/>
        <w:snapToGrid w:val="0"/>
        <w:spacing w:line="460" w:lineRule="exact"/>
        <w:ind w:left="-1" w:firstLine="321" w:firstLineChars="100"/>
        <w:textAlignment w:val="auto"/>
        <w:rPr>
          <w:rFonts w:hint="eastAsia" w:ascii="宋体" w:hAnsi="宋体" w:eastAsia="宋体"/>
          <w:color w:val="auto"/>
          <w:sz w:val="32"/>
          <w:szCs w:val="32"/>
          <w:highlight w:val="none"/>
        </w:rPr>
      </w:pPr>
      <w:bookmarkStart w:id="43" w:name="_Toc335123868"/>
      <w:bookmarkStart w:id="44" w:name="_Toc120614281"/>
      <w:bookmarkStart w:id="45" w:name="_Toc307561710"/>
      <w:bookmarkStart w:id="46" w:name="_Toc462564139"/>
      <w:bookmarkStart w:id="47" w:name="_Toc479757211"/>
      <w:bookmarkStart w:id="48" w:name="_Toc49090575"/>
      <w:bookmarkStart w:id="49" w:name="_Toc26554093"/>
      <w:r>
        <w:rPr>
          <w:rFonts w:hint="eastAsia" w:ascii="宋体" w:hAnsi="宋体" w:eastAsia="宋体"/>
          <w:color w:val="auto"/>
          <w:sz w:val="32"/>
          <w:szCs w:val="32"/>
          <w:highlight w:val="none"/>
        </w:rPr>
        <w:t>一、总则</w:t>
      </w:r>
    </w:p>
    <w:p w14:paraId="6F6FA3C9">
      <w:pPr>
        <w:pStyle w:val="5"/>
        <w:pageBreakBefore w:val="0"/>
        <w:kinsoku/>
        <w:wordWrap/>
        <w:overflowPunct/>
        <w:topLinePunct w:val="0"/>
        <w:autoSpaceDE/>
        <w:autoSpaceDN/>
        <w:bidi w:val="0"/>
        <w:spacing w:before="0" w:after="0" w:line="460" w:lineRule="exact"/>
        <w:ind w:firstLine="420" w:firstLineChars="150"/>
        <w:textAlignment w:val="auto"/>
        <w:rPr>
          <w:rFonts w:ascii="宋体" w:hAnsi="宋体" w:eastAsia="宋体"/>
          <w:b w:val="0"/>
          <w:bCs w:val="0"/>
          <w:color w:val="auto"/>
          <w:highlight w:val="none"/>
        </w:rPr>
      </w:pPr>
      <w:r>
        <w:rPr>
          <w:rFonts w:ascii="宋体" w:hAnsi="宋体" w:eastAsia="宋体"/>
          <w:b w:val="0"/>
          <w:bCs w:val="0"/>
          <w:color w:val="auto"/>
          <w:highlight w:val="none"/>
        </w:rPr>
        <w:t>1</w:t>
      </w:r>
      <w:r>
        <w:rPr>
          <w:rFonts w:hint="eastAsia" w:ascii="宋体" w:hAnsi="宋体" w:eastAsia="宋体"/>
          <w:b w:val="0"/>
          <w:bCs w:val="0"/>
          <w:color w:val="auto"/>
          <w:highlight w:val="none"/>
        </w:rPr>
        <w:t>．采购方式</w:t>
      </w:r>
    </w:p>
    <w:p w14:paraId="2C76A620">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1.1 本次采购</w:t>
      </w:r>
      <w:r>
        <w:rPr>
          <w:rFonts w:hint="eastAsia" w:ascii="宋体" w:hAnsi="宋体"/>
          <w:b/>
          <w:color w:val="auto"/>
          <w:sz w:val="24"/>
          <w:szCs w:val="24"/>
          <w:highlight w:val="none"/>
        </w:rPr>
        <w:t>采取竞争性磋商方式，</w:t>
      </w:r>
      <w:r>
        <w:rPr>
          <w:rFonts w:hint="eastAsia" w:ascii="宋体" w:hAnsi="宋体"/>
          <w:color w:val="auto"/>
          <w:sz w:val="24"/>
          <w:szCs w:val="24"/>
          <w:highlight w:val="none"/>
        </w:rPr>
        <w:t>本采购文件仅适用于采购公告中所述项目。</w:t>
      </w:r>
    </w:p>
    <w:p w14:paraId="7AEBA0D3">
      <w:pPr>
        <w:pStyle w:val="5"/>
        <w:pageBreakBefore w:val="0"/>
        <w:kinsoku/>
        <w:wordWrap/>
        <w:overflowPunct/>
        <w:topLinePunct w:val="0"/>
        <w:autoSpaceDE/>
        <w:autoSpaceDN/>
        <w:bidi w:val="0"/>
        <w:spacing w:before="0" w:after="0" w:line="460" w:lineRule="exact"/>
        <w:ind w:firstLine="420" w:firstLineChars="150"/>
        <w:textAlignment w:val="auto"/>
        <w:rPr>
          <w:rFonts w:hint="eastAsia" w:ascii="宋体" w:hAnsi="宋体" w:eastAsia="宋体"/>
          <w:b w:val="0"/>
          <w:bCs w:val="0"/>
          <w:color w:val="auto"/>
          <w:highlight w:val="none"/>
        </w:rPr>
      </w:pPr>
      <w:r>
        <w:rPr>
          <w:rFonts w:ascii="宋体" w:hAnsi="宋体" w:eastAsia="宋体"/>
          <w:b w:val="0"/>
          <w:bCs w:val="0"/>
          <w:color w:val="auto"/>
          <w:highlight w:val="none"/>
        </w:rPr>
        <w:t>2</w:t>
      </w:r>
      <w:r>
        <w:rPr>
          <w:rFonts w:hint="eastAsia" w:ascii="宋体" w:hAnsi="宋体" w:eastAsia="宋体"/>
          <w:b w:val="0"/>
          <w:bCs w:val="0"/>
          <w:color w:val="auto"/>
          <w:highlight w:val="none"/>
        </w:rPr>
        <w:t>．合格的投标人</w:t>
      </w:r>
    </w:p>
    <w:p w14:paraId="099CE4F5">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2. 1</w:t>
      </w:r>
      <w:r>
        <w:rPr>
          <w:rFonts w:hint="eastAsia" w:ascii="宋体" w:hAnsi="宋体"/>
          <w:color w:val="auto"/>
          <w:sz w:val="24"/>
          <w:szCs w:val="24"/>
          <w:highlight w:val="none"/>
        </w:rPr>
        <w:t>满足采购公告中投标人的资格要求的规定。</w:t>
      </w:r>
    </w:p>
    <w:p w14:paraId="63B7CDB7">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 xml:space="preserve">2. 2 </w:t>
      </w:r>
      <w:r>
        <w:rPr>
          <w:rFonts w:hint="eastAsia" w:ascii="宋体" w:hAnsi="宋体"/>
          <w:color w:val="auto"/>
          <w:sz w:val="24"/>
          <w:szCs w:val="24"/>
          <w:highlight w:val="none"/>
        </w:rPr>
        <w:t>满足本文件实质性条款的规定。</w:t>
      </w:r>
    </w:p>
    <w:p w14:paraId="05A7D7C7">
      <w:pPr>
        <w:pStyle w:val="5"/>
        <w:pageBreakBefore w:val="0"/>
        <w:kinsoku/>
        <w:wordWrap/>
        <w:overflowPunct/>
        <w:topLinePunct w:val="0"/>
        <w:autoSpaceDE/>
        <w:autoSpaceDN/>
        <w:bidi w:val="0"/>
        <w:spacing w:before="0" w:after="0" w:line="460" w:lineRule="exact"/>
        <w:ind w:firstLine="420" w:firstLineChars="150"/>
        <w:textAlignment w:val="auto"/>
        <w:rPr>
          <w:rFonts w:hint="eastAsia" w:ascii="宋体" w:hAnsi="宋体" w:eastAsia="宋体"/>
          <w:b w:val="0"/>
          <w:bCs w:val="0"/>
          <w:color w:val="auto"/>
          <w:highlight w:val="none"/>
        </w:rPr>
      </w:pPr>
      <w:bookmarkStart w:id="50" w:name="_Toc513029206"/>
      <w:bookmarkStart w:id="51" w:name="_Toc20823278"/>
      <w:bookmarkStart w:id="52" w:name="_Toc16938522"/>
      <w:r>
        <w:rPr>
          <w:rFonts w:ascii="宋体" w:hAnsi="宋体" w:eastAsia="宋体"/>
          <w:b w:val="0"/>
          <w:bCs w:val="0"/>
          <w:color w:val="auto"/>
          <w:highlight w:val="none"/>
        </w:rPr>
        <w:t>3</w:t>
      </w:r>
      <w:r>
        <w:rPr>
          <w:rFonts w:hint="eastAsia" w:ascii="宋体" w:hAnsi="宋体" w:eastAsia="宋体"/>
          <w:b w:val="0"/>
          <w:bCs w:val="0"/>
          <w:color w:val="auto"/>
          <w:highlight w:val="none"/>
        </w:rPr>
        <w:t>．适用法律</w:t>
      </w:r>
      <w:bookmarkEnd w:id="50"/>
      <w:bookmarkEnd w:id="51"/>
      <w:bookmarkEnd w:id="52"/>
    </w:p>
    <w:p w14:paraId="2E759C11">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3.1 《中华人民共和国政府采购法》、《中华人民共和国政府采购法实施条例》、《政府采购竞争性磋商采购方式管理暂行办法》等有关法律、规章和规定等。</w:t>
      </w:r>
    </w:p>
    <w:p w14:paraId="39B1F38D">
      <w:pPr>
        <w:pStyle w:val="5"/>
        <w:pageBreakBefore w:val="0"/>
        <w:kinsoku/>
        <w:wordWrap/>
        <w:overflowPunct/>
        <w:topLinePunct w:val="0"/>
        <w:autoSpaceDE/>
        <w:autoSpaceDN/>
        <w:bidi w:val="0"/>
        <w:spacing w:before="0" w:after="0" w:line="460" w:lineRule="exact"/>
        <w:ind w:firstLine="420" w:firstLineChars="150"/>
        <w:textAlignment w:val="auto"/>
        <w:rPr>
          <w:rFonts w:hint="eastAsia" w:ascii="宋体" w:hAnsi="宋体" w:eastAsia="宋体"/>
          <w:b w:val="0"/>
          <w:bCs w:val="0"/>
          <w:color w:val="auto"/>
          <w:highlight w:val="none"/>
        </w:rPr>
      </w:pPr>
      <w:r>
        <w:rPr>
          <w:rFonts w:ascii="宋体" w:hAnsi="宋体" w:eastAsia="宋体"/>
          <w:b w:val="0"/>
          <w:bCs w:val="0"/>
          <w:color w:val="auto"/>
          <w:highlight w:val="none"/>
        </w:rPr>
        <w:t>4</w:t>
      </w:r>
      <w:r>
        <w:rPr>
          <w:rFonts w:hint="eastAsia" w:ascii="宋体" w:hAnsi="宋体" w:eastAsia="宋体"/>
          <w:b w:val="0"/>
          <w:bCs w:val="0"/>
          <w:color w:val="auto"/>
          <w:highlight w:val="none"/>
        </w:rPr>
        <w:t>．投标费用</w:t>
      </w:r>
    </w:p>
    <w:p w14:paraId="0959507C">
      <w:pPr>
        <w:pageBreakBefore w:val="0"/>
        <w:kinsoku/>
        <w:wordWrap/>
        <w:overflowPunct/>
        <w:topLinePunct w:val="0"/>
        <w:autoSpaceDE/>
        <w:autoSpaceDN/>
        <w:bidi w:val="0"/>
        <w:spacing w:line="460" w:lineRule="exact"/>
        <w:ind w:firstLine="480" w:firstLineChars="200"/>
        <w:textAlignment w:val="auto"/>
        <w:rPr>
          <w:rFonts w:ascii="宋体" w:hAnsi="宋体" w:cs="宋体"/>
          <w:b/>
          <w:color w:val="auto"/>
          <w:sz w:val="24"/>
          <w:highlight w:val="none"/>
        </w:rPr>
      </w:pPr>
      <w:r>
        <w:rPr>
          <w:rFonts w:hint="eastAsia" w:ascii="宋体" w:hAnsi="宋体"/>
          <w:color w:val="auto"/>
          <w:sz w:val="24"/>
          <w:szCs w:val="24"/>
          <w:highlight w:val="none"/>
        </w:rPr>
        <w:t>4.1 投标人应自行承担所有与参加投标有关的费用，无论投标过程中的做法和结果如何，采购人在任何情况下均无义务和责任承担这些费用。</w:t>
      </w:r>
      <w:r>
        <w:rPr>
          <w:rFonts w:hint="eastAsia" w:ascii="宋体" w:hAnsi="宋体" w:cs="宋体"/>
          <w:b/>
          <w:color w:val="auto"/>
          <w:sz w:val="24"/>
          <w:highlight w:val="none"/>
        </w:rPr>
        <w:t xml:space="preserve">  </w:t>
      </w:r>
    </w:p>
    <w:p w14:paraId="3ED5E608">
      <w:pPr>
        <w:pStyle w:val="5"/>
        <w:pageBreakBefore w:val="0"/>
        <w:kinsoku/>
        <w:wordWrap/>
        <w:overflowPunct/>
        <w:topLinePunct w:val="0"/>
        <w:autoSpaceDE/>
        <w:autoSpaceDN/>
        <w:bidi w:val="0"/>
        <w:spacing w:before="0" w:after="0" w:line="460" w:lineRule="exact"/>
        <w:ind w:firstLine="420" w:firstLineChars="150"/>
        <w:textAlignment w:val="auto"/>
        <w:rPr>
          <w:rFonts w:hint="eastAsia" w:ascii="宋体" w:hAnsi="宋体" w:eastAsia="宋体"/>
          <w:b w:val="0"/>
          <w:bCs w:val="0"/>
          <w:color w:val="auto"/>
          <w:highlight w:val="none"/>
        </w:rPr>
      </w:pPr>
      <w:r>
        <w:rPr>
          <w:rFonts w:hint="eastAsia" w:ascii="宋体" w:hAnsi="宋体" w:eastAsia="宋体"/>
          <w:b w:val="0"/>
          <w:bCs w:val="0"/>
          <w:color w:val="auto"/>
          <w:highlight w:val="none"/>
        </w:rPr>
        <w:t>5．采购文件的约束力</w:t>
      </w:r>
    </w:p>
    <w:p w14:paraId="767B71D7">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highlight w:val="none"/>
        </w:rPr>
      </w:pPr>
      <w:r>
        <w:rPr>
          <w:rFonts w:hint="eastAsia" w:ascii="宋体" w:hAnsi="宋体"/>
          <w:color w:val="auto"/>
          <w:sz w:val="24"/>
          <w:szCs w:val="24"/>
          <w:highlight w:val="none"/>
        </w:rPr>
        <w:t>5.1 投标人一旦领取本采购文件并决定参加投标，即被认为接受了本采购文件的规定和约束，并且视为自采购文件领取之日起已经知道或应当知道采购文件是否损害其自身权益。投标人一旦参加本项目投标，即表明承诺接受了本采购文件中的所有条件和规定。</w:t>
      </w:r>
    </w:p>
    <w:p w14:paraId="2F59D3D1">
      <w:pPr>
        <w:pStyle w:val="200"/>
        <w:pageBreakBefore w:val="0"/>
        <w:tabs>
          <w:tab w:val="clear" w:pos="720"/>
        </w:tabs>
        <w:kinsoku/>
        <w:wordWrap/>
        <w:overflowPunct/>
        <w:topLinePunct w:val="0"/>
        <w:autoSpaceDE/>
        <w:autoSpaceDN/>
        <w:bidi w:val="0"/>
        <w:snapToGrid w:val="0"/>
        <w:spacing w:line="460" w:lineRule="exact"/>
        <w:ind w:left="-1" w:firstLine="321" w:firstLineChars="100"/>
        <w:textAlignment w:val="auto"/>
        <w:rPr>
          <w:rFonts w:hint="eastAsia" w:ascii="宋体" w:hAnsi="宋体" w:eastAsia="宋体"/>
          <w:color w:val="auto"/>
          <w:sz w:val="32"/>
          <w:szCs w:val="32"/>
          <w:highlight w:val="none"/>
        </w:rPr>
      </w:pPr>
      <w:r>
        <w:rPr>
          <w:rFonts w:hint="eastAsia" w:ascii="宋体" w:hAnsi="宋体" w:eastAsia="宋体"/>
          <w:color w:val="auto"/>
          <w:sz w:val="32"/>
          <w:szCs w:val="32"/>
          <w:highlight w:val="none"/>
        </w:rPr>
        <w:t>二、采购文件</w:t>
      </w:r>
    </w:p>
    <w:p w14:paraId="1668EEF7">
      <w:pPr>
        <w:pStyle w:val="5"/>
        <w:pageBreakBefore w:val="0"/>
        <w:kinsoku/>
        <w:wordWrap/>
        <w:overflowPunct/>
        <w:topLinePunct w:val="0"/>
        <w:autoSpaceDE/>
        <w:autoSpaceDN/>
        <w:bidi w:val="0"/>
        <w:spacing w:before="0" w:after="0" w:line="460" w:lineRule="exact"/>
        <w:ind w:firstLine="420" w:firstLineChars="150"/>
        <w:textAlignment w:val="auto"/>
        <w:rPr>
          <w:rFonts w:ascii="宋体" w:hAnsi="宋体" w:eastAsia="宋体"/>
          <w:b w:val="0"/>
          <w:bCs w:val="0"/>
          <w:color w:val="auto"/>
          <w:highlight w:val="none"/>
        </w:rPr>
      </w:pPr>
      <w:r>
        <w:rPr>
          <w:rFonts w:ascii="宋体" w:hAnsi="宋体" w:eastAsia="宋体"/>
          <w:b w:val="0"/>
          <w:bCs w:val="0"/>
          <w:color w:val="auto"/>
          <w:highlight w:val="none"/>
        </w:rPr>
        <w:t>6</w:t>
      </w:r>
      <w:r>
        <w:rPr>
          <w:rFonts w:hint="eastAsia" w:ascii="宋体" w:hAnsi="宋体" w:eastAsia="宋体"/>
          <w:b w:val="0"/>
          <w:bCs w:val="0"/>
          <w:color w:val="auto"/>
          <w:highlight w:val="none"/>
        </w:rPr>
        <w:t>．采购文件构成</w:t>
      </w:r>
    </w:p>
    <w:p w14:paraId="15B3F2F0">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6.1 采购文件有以下部分组成：</w:t>
      </w:r>
    </w:p>
    <w:p w14:paraId="70A84A14">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（1）采购公告；</w:t>
      </w:r>
    </w:p>
    <w:p w14:paraId="05B9669B">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（2）投标人须知；</w:t>
      </w:r>
    </w:p>
    <w:p w14:paraId="6DD839CA">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（3）项目需求；</w:t>
      </w:r>
    </w:p>
    <w:p w14:paraId="13C29500">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（4）评标方法与评标标准；</w:t>
      </w:r>
    </w:p>
    <w:p w14:paraId="5B1576D5">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（5）投标响应文件格式；</w:t>
      </w:r>
    </w:p>
    <w:p w14:paraId="29DB3215">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请仔细检查采购文件是否齐全，如有缺漏请立即与采购人联系解决。</w:t>
      </w:r>
    </w:p>
    <w:p w14:paraId="6775AF79">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6.2 投标人应认真阅读采购文件中所有的事项、格式、条款和规范等要求。按采购文件要求和规定编制投标响应文件，并保证所提供的全部资料的真实性，以使其投标响应文件对采购文件作出实质性响应，否则其风险由投标人自行承担。</w:t>
      </w:r>
    </w:p>
    <w:p w14:paraId="246F9F06">
      <w:pPr>
        <w:pStyle w:val="5"/>
        <w:pageBreakBefore w:val="0"/>
        <w:kinsoku/>
        <w:wordWrap/>
        <w:overflowPunct/>
        <w:topLinePunct w:val="0"/>
        <w:autoSpaceDE/>
        <w:autoSpaceDN/>
        <w:bidi w:val="0"/>
        <w:spacing w:before="0" w:after="0" w:line="460" w:lineRule="exact"/>
        <w:ind w:firstLine="420" w:firstLineChars="150"/>
        <w:textAlignment w:val="auto"/>
        <w:rPr>
          <w:rFonts w:hint="eastAsia" w:ascii="宋体" w:hAnsi="宋体" w:eastAsia="宋体"/>
          <w:b w:val="0"/>
          <w:bCs w:val="0"/>
          <w:color w:val="auto"/>
          <w:highlight w:val="none"/>
        </w:rPr>
      </w:pPr>
      <w:r>
        <w:rPr>
          <w:rFonts w:ascii="宋体" w:hAnsi="宋体" w:eastAsia="宋体"/>
          <w:b w:val="0"/>
          <w:bCs w:val="0"/>
          <w:color w:val="auto"/>
          <w:highlight w:val="none"/>
        </w:rPr>
        <w:t>7</w:t>
      </w:r>
      <w:r>
        <w:rPr>
          <w:rFonts w:hint="eastAsia" w:ascii="宋体" w:hAnsi="宋体" w:eastAsia="宋体"/>
          <w:b w:val="0"/>
          <w:bCs w:val="0"/>
          <w:color w:val="auto"/>
          <w:highlight w:val="none"/>
        </w:rPr>
        <w:t>．采购文件的澄清</w:t>
      </w:r>
    </w:p>
    <w:p w14:paraId="3B71DD65">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7.1 任何要求对采购文件进行澄清的投标人，均应在投标截止期5日前按采购公告中的联系方式，以书面形式提交给采购人。采购人认为已发布的采购文件确有必要澄清或者修改的，将在“</w:t>
      </w:r>
      <w:r>
        <w:rPr>
          <w:rFonts w:hint="eastAsia" w:ascii="宋体" w:hAnsi="宋体"/>
          <w:color w:val="auto"/>
          <w:sz w:val="24"/>
          <w:szCs w:val="24"/>
          <w:highlight w:val="none"/>
          <w:lang w:val="en-US" w:eastAsia="zh-CN"/>
        </w:rPr>
        <w:t>如东县限额交易平台</w:t>
      </w:r>
      <w:r>
        <w:rPr>
          <w:rFonts w:hint="eastAsia" w:ascii="宋体" w:hAnsi="宋体"/>
          <w:color w:val="auto"/>
          <w:sz w:val="24"/>
          <w:szCs w:val="24"/>
          <w:highlight w:val="none"/>
        </w:rPr>
        <w:t>”网站发布更正公告。</w:t>
      </w:r>
    </w:p>
    <w:p w14:paraId="1B26E8A2">
      <w:pPr>
        <w:pStyle w:val="5"/>
        <w:pageBreakBefore w:val="0"/>
        <w:kinsoku/>
        <w:wordWrap/>
        <w:overflowPunct/>
        <w:topLinePunct w:val="0"/>
        <w:autoSpaceDE/>
        <w:autoSpaceDN/>
        <w:bidi w:val="0"/>
        <w:spacing w:before="0" w:after="0" w:line="460" w:lineRule="exact"/>
        <w:ind w:firstLine="420" w:firstLineChars="150"/>
        <w:textAlignment w:val="auto"/>
        <w:rPr>
          <w:rFonts w:hint="eastAsia" w:ascii="宋体" w:hAnsi="宋体" w:eastAsia="宋体"/>
          <w:b w:val="0"/>
          <w:bCs w:val="0"/>
          <w:color w:val="auto"/>
          <w:highlight w:val="none"/>
        </w:rPr>
      </w:pPr>
      <w:r>
        <w:rPr>
          <w:rFonts w:ascii="宋体" w:hAnsi="宋体" w:eastAsia="宋体"/>
          <w:b w:val="0"/>
          <w:bCs w:val="0"/>
          <w:color w:val="auto"/>
          <w:highlight w:val="none"/>
        </w:rPr>
        <w:t>8</w:t>
      </w:r>
      <w:r>
        <w:rPr>
          <w:rFonts w:hint="eastAsia" w:ascii="宋体" w:hAnsi="宋体" w:eastAsia="宋体"/>
          <w:b w:val="0"/>
          <w:bCs w:val="0"/>
          <w:color w:val="auto"/>
          <w:highlight w:val="none"/>
        </w:rPr>
        <w:t>．采购文件的修改</w:t>
      </w:r>
    </w:p>
    <w:p w14:paraId="19EF4570">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8.1 在投标截止时间三天前，采购人均可以以补充文件的方式对采购文件进行修改。</w:t>
      </w:r>
    </w:p>
    <w:p w14:paraId="7FE96ABA">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8.2采购人有权按规定要求推迟投标截止日期和开标日期。</w:t>
      </w:r>
    </w:p>
    <w:p w14:paraId="69772A9A">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highlight w:val="none"/>
        </w:rPr>
      </w:pPr>
      <w:r>
        <w:rPr>
          <w:rFonts w:hint="eastAsia" w:ascii="宋体" w:hAnsi="宋体"/>
          <w:color w:val="auto"/>
          <w:sz w:val="24"/>
          <w:szCs w:val="24"/>
          <w:highlight w:val="none"/>
        </w:rPr>
        <w:t>8.3采购文件的修改将在采购公告发布媒体公布，补充文件将作为采购文件的组成部分，并对投标人具有约束力。</w:t>
      </w:r>
    </w:p>
    <w:p w14:paraId="0DC2CFD7">
      <w:pPr>
        <w:pStyle w:val="200"/>
        <w:pageBreakBefore w:val="0"/>
        <w:tabs>
          <w:tab w:val="clear" w:pos="720"/>
        </w:tabs>
        <w:kinsoku/>
        <w:wordWrap/>
        <w:overflowPunct/>
        <w:topLinePunct w:val="0"/>
        <w:autoSpaceDE/>
        <w:autoSpaceDN/>
        <w:bidi w:val="0"/>
        <w:snapToGrid w:val="0"/>
        <w:spacing w:line="460" w:lineRule="exact"/>
        <w:ind w:left="-1" w:firstLine="321" w:firstLineChars="100"/>
        <w:textAlignment w:val="auto"/>
        <w:rPr>
          <w:rFonts w:hint="eastAsia" w:ascii="宋体" w:hAnsi="宋体" w:eastAsia="宋体"/>
          <w:color w:val="auto"/>
          <w:sz w:val="32"/>
          <w:szCs w:val="32"/>
          <w:highlight w:val="none"/>
        </w:rPr>
      </w:pPr>
      <w:r>
        <w:rPr>
          <w:rFonts w:hint="eastAsia" w:ascii="宋体" w:hAnsi="宋体" w:eastAsia="宋体"/>
          <w:color w:val="auto"/>
          <w:sz w:val="32"/>
          <w:szCs w:val="32"/>
          <w:highlight w:val="none"/>
        </w:rPr>
        <w:t>三、投标文件的编制</w:t>
      </w:r>
    </w:p>
    <w:p w14:paraId="3C57686D">
      <w:pPr>
        <w:pStyle w:val="5"/>
        <w:pageBreakBefore w:val="0"/>
        <w:kinsoku/>
        <w:wordWrap/>
        <w:overflowPunct/>
        <w:topLinePunct w:val="0"/>
        <w:autoSpaceDE/>
        <w:autoSpaceDN/>
        <w:bidi w:val="0"/>
        <w:spacing w:before="0" w:after="0" w:line="460" w:lineRule="exact"/>
        <w:ind w:firstLine="420" w:firstLineChars="150"/>
        <w:textAlignment w:val="auto"/>
        <w:rPr>
          <w:rFonts w:ascii="宋体" w:hAnsi="宋体" w:eastAsia="宋体"/>
          <w:b w:val="0"/>
          <w:bCs w:val="0"/>
          <w:color w:val="auto"/>
          <w:highlight w:val="none"/>
        </w:rPr>
      </w:pPr>
      <w:r>
        <w:rPr>
          <w:rFonts w:ascii="宋体" w:hAnsi="宋体" w:eastAsia="宋体"/>
          <w:b w:val="0"/>
          <w:bCs w:val="0"/>
          <w:color w:val="auto"/>
          <w:highlight w:val="none"/>
        </w:rPr>
        <w:t>9</w:t>
      </w:r>
      <w:r>
        <w:rPr>
          <w:rFonts w:hint="eastAsia" w:ascii="宋体" w:hAnsi="宋体" w:eastAsia="宋体"/>
          <w:b w:val="0"/>
          <w:bCs w:val="0"/>
          <w:color w:val="auto"/>
          <w:highlight w:val="none"/>
        </w:rPr>
        <w:t>．投标文件的语言及度量衡单位</w:t>
      </w:r>
    </w:p>
    <w:p w14:paraId="74B0EB32">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9.1 投标人提交的投标文件以及投标人与采购人就有关投标的所有来往通知、函件和文件均应使用简体中文。</w:t>
      </w:r>
    </w:p>
    <w:p w14:paraId="3DC87C10">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9.2 除技术性能另有规定外，投标文件所使用的度量衡单位，均须采用国家法定计量单位。</w:t>
      </w:r>
    </w:p>
    <w:p w14:paraId="1E73ECC5">
      <w:pPr>
        <w:pStyle w:val="5"/>
        <w:pageBreakBefore w:val="0"/>
        <w:kinsoku/>
        <w:wordWrap/>
        <w:overflowPunct/>
        <w:topLinePunct w:val="0"/>
        <w:autoSpaceDE/>
        <w:autoSpaceDN/>
        <w:bidi w:val="0"/>
        <w:spacing w:before="0" w:after="0" w:line="460" w:lineRule="exact"/>
        <w:ind w:firstLine="420" w:firstLineChars="150"/>
        <w:textAlignment w:val="auto"/>
        <w:rPr>
          <w:rFonts w:hint="eastAsia" w:ascii="宋体" w:hAnsi="宋体" w:eastAsia="宋体"/>
          <w:b w:val="0"/>
          <w:bCs w:val="0"/>
          <w:color w:val="auto"/>
          <w:highlight w:val="none"/>
        </w:rPr>
      </w:pPr>
      <w:r>
        <w:rPr>
          <w:rFonts w:ascii="宋体" w:hAnsi="宋体" w:eastAsia="宋体"/>
          <w:b w:val="0"/>
          <w:bCs w:val="0"/>
          <w:color w:val="auto"/>
          <w:highlight w:val="none"/>
        </w:rPr>
        <w:t>10</w:t>
      </w:r>
      <w:r>
        <w:rPr>
          <w:rFonts w:hint="eastAsia" w:ascii="宋体" w:hAnsi="宋体" w:eastAsia="宋体"/>
          <w:b w:val="0"/>
          <w:bCs w:val="0"/>
          <w:color w:val="auto"/>
          <w:highlight w:val="none"/>
        </w:rPr>
        <w:t>．投标文件构成</w:t>
      </w:r>
    </w:p>
    <w:p w14:paraId="4933D99A">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10.1 投标人编写的投标文件应按本采购文件详细编制。</w:t>
      </w:r>
    </w:p>
    <w:p w14:paraId="124765BD">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10.2 投标人应将投标文件按顺序装订成册，并编制投标文件资料目录。</w:t>
      </w:r>
    </w:p>
    <w:p w14:paraId="4266FF34">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10.3投标响应文件参照投标文件格式中“投标主要文件目录”的顺序制作，并请编制目录。由于不按要求编排，编排混乱等导致投标文件被误读或查找不到，责任由投标人承担。</w:t>
      </w:r>
    </w:p>
    <w:p w14:paraId="231DFA4E">
      <w:pPr>
        <w:pStyle w:val="5"/>
        <w:pageBreakBefore w:val="0"/>
        <w:kinsoku/>
        <w:wordWrap/>
        <w:overflowPunct/>
        <w:topLinePunct w:val="0"/>
        <w:autoSpaceDE/>
        <w:autoSpaceDN/>
        <w:bidi w:val="0"/>
        <w:spacing w:before="0" w:after="0" w:line="460" w:lineRule="exact"/>
        <w:ind w:firstLine="420" w:firstLineChars="150"/>
        <w:textAlignment w:val="auto"/>
        <w:rPr>
          <w:rFonts w:hint="eastAsia" w:ascii="宋体" w:hAnsi="宋体" w:eastAsia="宋体"/>
          <w:b w:val="0"/>
          <w:bCs w:val="0"/>
          <w:color w:val="auto"/>
          <w:highlight w:val="none"/>
        </w:rPr>
      </w:pPr>
      <w:r>
        <w:rPr>
          <w:rFonts w:ascii="宋体" w:hAnsi="宋体" w:eastAsia="宋体"/>
          <w:b w:val="0"/>
          <w:bCs w:val="0"/>
          <w:color w:val="auto"/>
          <w:highlight w:val="none"/>
        </w:rPr>
        <w:t>11</w:t>
      </w:r>
      <w:r>
        <w:rPr>
          <w:rFonts w:hint="eastAsia" w:ascii="宋体" w:hAnsi="宋体" w:eastAsia="宋体"/>
          <w:b w:val="0"/>
          <w:bCs w:val="0"/>
          <w:color w:val="auto"/>
          <w:highlight w:val="none"/>
        </w:rPr>
        <w:t>．证明投标人资格及符合采购文件规定的文件</w:t>
      </w:r>
    </w:p>
    <w:p w14:paraId="29195537">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11.1投标人应按要求提交资格证明文件及符合采购文件规定的文件。</w:t>
      </w:r>
    </w:p>
    <w:p w14:paraId="17736D7E">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11.2投标人应提交采购文件要求提供的投标的相关资格证明文件。</w:t>
      </w:r>
    </w:p>
    <w:p w14:paraId="25331D10">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11.3投标人除必须具有履行合同所需提供的服务的能力外，还必须具备相应的财务、技术方面的能力。</w:t>
      </w:r>
    </w:p>
    <w:p w14:paraId="2C912E22">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11.4投标人应提供的符合采购文件规定的证明文件。</w:t>
      </w:r>
    </w:p>
    <w:p w14:paraId="37910625">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11.5证明投标人所提供的服务与采购文件的要求相一致的文件可以是手册、图纸、文字资料和数据。</w:t>
      </w:r>
    </w:p>
    <w:p w14:paraId="12C95ED6">
      <w:pPr>
        <w:pStyle w:val="5"/>
        <w:pageBreakBefore w:val="0"/>
        <w:kinsoku/>
        <w:wordWrap/>
        <w:overflowPunct/>
        <w:topLinePunct w:val="0"/>
        <w:autoSpaceDE/>
        <w:autoSpaceDN/>
        <w:bidi w:val="0"/>
        <w:spacing w:before="0" w:after="0" w:line="460" w:lineRule="exact"/>
        <w:ind w:firstLine="420" w:firstLineChars="150"/>
        <w:textAlignment w:val="auto"/>
        <w:rPr>
          <w:rFonts w:hint="eastAsia" w:ascii="宋体" w:hAnsi="宋体" w:eastAsia="宋体"/>
          <w:b w:val="0"/>
          <w:bCs w:val="0"/>
          <w:color w:val="auto"/>
          <w:highlight w:val="none"/>
        </w:rPr>
      </w:pPr>
      <w:r>
        <w:rPr>
          <w:rFonts w:ascii="宋体" w:hAnsi="宋体" w:eastAsia="宋体"/>
          <w:b w:val="0"/>
          <w:bCs w:val="0"/>
          <w:color w:val="auto"/>
          <w:highlight w:val="none"/>
        </w:rPr>
        <w:t>12</w:t>
      </w:r>
      <w:r>
        <w:rPr>
          <w:rFonts w:hint="eastAsia" w:ascii="宋体" w:hAnsi="宋体" w:eastAsia="宋体"/>
          <w:b w:val="0"/>
          <w:bCs w:val="0"/>
          <w:color w:val="auto"/>
          <w:highlight w:val="none"/>
        </w:rPr>
        <w:t>．投标报价表</w:t>
      </w:r>
    </w:p>
    <w:p w14:paraId="4128E074">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12.1投标人应按照采购文件规定格式填报投标报价表。任何有选择的报价将不予接受。</w:t>
      </w:r>
    </w:p>
    <w:p w14:paraId="39E91155">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12.2 标的物</w:t>
      </w:r>
    </w:p>
    <w:p w14:paraId="33082B55">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采购人需求的服务的有关技术服务等。</w:t>
      </w:r>
    </w:p>
    <w:p w14:paraId="53E65BA2">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12.3有关费用处理</w:t>
      </w:r>
    </w:p>
    <w:p w14:paraId="2B0C243D">
      <w:pPr>
        <w:pageBreakBefore w:val="0"/>
        <w:kinsoku/>
        <w:wordWrap/>
        <w:overflowPunct/>
        <w:topLinePunct w:val="0"/>
        <w:autoSpaceDE/>
        <w:autoSpaceDN/>
        <w:bidi w:val="0"/>
        <w:spacing w:line="460" w:lineRule="exact"/>
        <w:ind w:firstLine="480" w:firstLineChars="200"/>
        <w:textAlignment w:val="auto"/>
        <w:rPr>
          <w:rFonts w:hint="eastAsia" w:ascii="宋体" w:hAnsi="宋体"/>
          <w:b w:val="0"/>
          <w:bCs/>
          <w:color w:val="auto"/>
          <w:sz w:val="24"/>
          <w:szCs w:val="24"/>
          <w:highlight w:val="none"/>
        </w:rPr>
      </w:pPr>
      <w:r>
        <w:rPr>
          <w:rFonts w:hint="eastAsia"/>
          <w:b w:val="0"/>
          <w:bCs/>
          <w:color w:val="auto"/>
          <w:sz w:val="24"/>
          <w:szCs w:val="24"/>
          <w:highlight w:val="none"/>
        </w:rPr>
        <w:t>投标报价应包括完成本次采购项目的一切费用。</w:t>
      </w:r>
      <w:r>
        <w:rPr>
          <w:rFonts w:hint="eastAsia" w:ascii="宋体" w:hAnsi="宋体"/>
          <w:b w:val="0"/>
          <w:bCs/>
          <w:color w:val="auto"/>
          <w:sz w:val="24"/>
          <w:szCs w:val="24"/>
          <w:highlight w:val="none"/>
        </w:rPr>
        <w:t>同时，报价也应包含合同履行过程中可能发生的一切风险。</w:t>
      </w:r>
    </w:p>
    <w:p w14:paraId="6CC537B2">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12.4其它费用处理</w:t>
      </w:r>
    </w:p>
    <w:p w14:paraId="0638F5AE">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采购文件未列明，而投标人认为必需的费用也需列入报价。</w:t>
      </w:r>
    </w:p>
    <w:p w14:paraId="5CC67E00">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12.5投标货币</w:t>
      </w:r>
    </w:p>
    <w:p w14:paraId="32C70E28">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投标文件中的服务单价和总价无特殊规定的采用人民币报价，以报价表要求的为单位标注。采购文件中另有规定的按规定执行。</w:t>
      </w:r>
    </w:p>
    <w:p w14:paraId="36099624">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12.6 投标报价表上的价格应按采购文件规定的格式填写：</w:t>
      </w:r>
    </w:p>
    <w:p w14:paraId="23FA6AF9">
      <w:pPr>
        <w:pStyle w:val="5"/>
        <w:pageBreakBefore w:val="0"/>
        <w:kinsoku/>
        <w:wordWrap/>
        <w:overflowPunct/>
        <w:topLinePunct w:val="0"/>
        <w:autoSpaceDE/>
        <w:autoSpaceDN/>
        <w:bidi w:val="0"/>
        <w:spacing w:before="0" w:after="0" w:line="460" w:lineRule="exact"/>
        <w:ind w:firstLine="420" w:firstLineChars="150"/>
        <w:textAlignment w:val="auto"/>
        <w:rPr>
          <w:rFonts w:hint="eastAsia" w:ascii="宋体" w:hAnsi="宋体" w:eastAsia="宋体"/>
          <w:b w:val="0"/>
          <w:bCs w:val="0"/>
          <w:color w:val="auto"/>
          <w:highlight w:val="none"/>
        </w:rPr>
      </w:pPr>
      <w:r>
        <w:rPr>
          <w:rFonts w:ascii="宋体" w:hAnsi="宋体" w:eastAsia="宋体"/>
          <w:b w:val="0"/>
          <w:bCs w:val="0"/>
          <w:color w:val="auto"/>
          <w:highlight w:val="none"/>
        </w:rPr>
        <w:t>13</w:t>
      </w:r>
      <w:r>
        <w:rPr>
          <w:rFonts w:hint="eastAsia" w:ascii="宋体" w:hAnsi="宋体" w:eastAsia="宋体"/>
          <w:b w:val="0"/>
          <w:bCs w:val="0"/>
          <w:color w:val="auto"/>
          <w:highlight w:val="none"/>
        </w:rPr>
        <w:t>．偏离表、商务条款响应及偏离表及投标（服务）说明</w:t>
      </w:r>
    </w:p>
    <w:p w14:paraId="3FC4784A">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13.1 对采购文件中的商务条款要求逐项作出响应或偏离，并说明原因；</w:t>
      </w:r>
    </w:p>
    <w:p w14:paraId="671E785E">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13.2 提供参加本项目所需案例的简介；</w:t>
      </w:r>
    </w:p>
    <w:p w14:paraId="3CD484C0">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13.3 详细阐述所投服务的主要组成部分、实现思路及关键技术；</w:t>
      </w:r>
    </w:p>
    <w:p w14:paraId="32EE623B">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13.4 投标人认为需要的其他技术文件或说明。</w:t>
      </w:r>
    </w:p>
    <w:p w14:paraId="2FF4667B">
      <w:pPr>
        <w:pStyle w:val="5"/>
        <w:pageBreakBefore w:val="0"/>
        <w:kinsoku/>
        <w:wordWrap/>
        <w:overflowPunct/>
        <w:topLinePunct w:val="0"/>
        <w:autoSpaceDE/>
        <w:autoSpaceDN/>
        <w:bidi w:val="0"/>
        <w:spacing w:before="0" w:after="0" w:line="460" w:lineRule="exact"/>
        <w:ind w:firstLine="420" w:firstLineChars="150"/>
        <w:textAlignment w:val="auto"/>
        <w:rPr>
          <w:rFonts w:hint="eastAsia" w:ascii="宋体" w:hAnsi="宋体" w:eastAsia="宋体"/>
          <w:b w:val="0"/>
          <w:bCs w:val="0"/>
          <w:color w:val="auto"/>
          <w:highlight w:val="none"/>
        </w:rPr>
      </w:pPr>
      <w:r>
        <w:rPr>
          <w:rFonts w:ascii="宋体" w:hAnsi="宋体" w:eastAsia="宋体"/>
          <w:b w:val="0"/>
          <w:bCs w:val="0"/>
          <w:color w:val="auto"/>
          <w:highlight w:val="none"/>
        </w:rPr>
        <w:t>14</w:t>
      </w:r>
      <w:r>
        <w:rPr>
          <w:rFonts w:hint="eastAsia" w:ascii="宋体" w:hAnsi="宋体" w:eastAsia="宋体"/>
          <w:b w:val="0"/>
          <w:bCs w:val="0"/>
          <w:color w:val="auto"/>
          <w:highlight w:val="none"/>
        </w:rPr>
        <w:t>．服务承诺的情况介绍</w:t>
      </w:r>
    </w:p>
    <w:p w14:paraId="5B3A54D4">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14.1投标人的服务承诺应按不低于采购文件中商务要求的标准。</w:t>
      </w:r>
      <w:bookmarkStart w:id="53" w:name="_Toc14577359"/>
      <w:bookmarkStart w:id="54" w:name="_Toc49090510"/>
    </w:p>
    <w:p w14:paraId="5EE3A054">
      <w:pPr>
        <w:pageBreakBefore w:val="0"/>
        <w:kinsoku/>
        <w:wordWrap/>
        <w:overflowPunct/>
        <w:topLinePunct w:val="0"/>
        <w:autoSpaceDE/>
        <w:autoSpaceDN/>
        <w:bidi w:val="0"/>
        <w:spacing w:line="460" w:lineRule="exact"/>
        <w:ind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15．投标保证金</w:t>
      </w:r>
      <w:bookmarkEnd w:id="53"/>
      <w:bookmarkEnd w:id="54"/>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本项目免收投标保证金。</w:t>
      </w:r>
    </w:p>
    <w:p w14:paraId="46D0CA69">
      <w:pPr>
        <w:pStyle w:val="5"/>
        <w:pageBreakBefore w:val="0"/>
        <w:kinsoku/>
        <w:wordWrap/>
        <w:overflowPunct/>
        <w:topLinePunct w:val="0"/>
        <w:autoSpaceDE/>
        <w:autoSpaceDN/>
        <w:bidi w:val="0"/>
        <w:spacing w:before="0" w:after="0" w:line="460" w:lineRule="exact"/>
        <w:ind w:firstLine="420" w:firstLineChars="150"/>
        <w:textAlignment w:val="auto"/>
        <w:rPr>
          <w:rFonts w:hint="eastAsia" w:ascii="宋体" w:hAnsi="宋体" w:eastAsia="宋体"/>
          <w:b w:val="0"/>
          <w:bCs w:val="0"/>
          <w:color w:val="auto"/>
          <w:highlight w:val="none"/>
        </w:rPr>
      </w:pPr>
      <w:r>
        <w:rPr>
          <w:rFonts w:ascii="宋体" w:hAnsi="宋体" w:eastAsia="宋体"/>
          <w:b w:val="0"/>
          <w:bCs w:val="0"/>
          <w:color w:val="auto"/>
          <w:highlight w:val="none"/>
        </w:rPr>
        <w:t>1</w:t>
      </w:r>
      <w:r>
        <w:rPr>
          <w:rFonts w:hint="eastAsia" w:ascii="宋体" w:hAnsi="宋体" w:eastAsia="宋体"/>
          <w:b w:val="0"/>
          <w:bCs w:val="0"/>
          <w:color w:val="auto"/>
          <w:highlight w:val="none"/>
        </w:rPr>
        <w:t>6．投标有效期</w:t>
      </w:r>
    </w:p>
    <w:p w14:paraId="0B9CDBA0">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16.1 投标有效期为采购人规定的开标之日后90日历日。投标有效期比规定短的将被视为非响应性投标而予以拒绝。</w:t>
      </w:r>
    </w:p>
    <w:p w14:paraId="4A6EB0D0">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16.2 在特殊情况下，采购人于原投标有效期满之前，可向投标人提出延长投标有效期的要求。这种要求与答复均应采用书面形式。投标人可以拒绝采购人的这一要求而放弃投标，采购人在接到投标人书面答复后，将在原投标有效期满后五日内无息退还其投标保证金。同意延长投标有效期的投标人既不能要求也不允许修改其投标文件。第16条有关投标保证金的没收和退还的规定在延长期内继续有效，同时受投标有效期约束的所有权利与义务均延长至新的有效期。</w:t>
      </w:r>
    </w:p>
    <w:p w14:paraId="71A7100B">
      <w:pPr>
        <w:pStyle w:val="5"/>
        <w:pageBreakBefore w:val="0"/>
        <w:kinsoku/>
        <w:wordWrap/>
        <w:overflowPunct/>
        <w:topLinePunct w:val="0"/>
        <w:autoSpaceDE/>
        <w:autoSpaceDN/>
        <w:bidi w:val="0"/>
        <w:spacing w:before="0" w:after="0" w:line="460" w:lineRule="exact"/>
        <w:ind w:firstLine="420" w:firstLineChars="150"/>
        <w:textAlignment w:val="auto"/>
        <w:rPr>
          <w:rFonts w:hint="eastAsia" w:ascii="宋体" w:hAnsi="宋体" w:eastAsia="宋体"/>
          <w:b w:val="0"/>
          <w:bCs w:val="0"/>
          <w:color w:val="auto"/>
          <w:highlight w:val="none"/>
        </w:rPr>
      </w:pPr>
      <w:r>
        <w:rPr>
          <w:rFonts w:ascii="宋体" w:hAnsi="宋体" w:eastAsia="宋体"/>
          <w:b w:val="0"/>
          <w:bCs w:val="0"/>
          <w:color w:val="auto"/>
          <w:highlight w:val="none"/>
        </w:rPr>
        <w:t>1</w:t>
      </w:r>
      <w:r>
        <w:rPr>
          <w:rFonts w:hint="eastAsia" w:ascii="宋体" w:hAnsi="宋体" w:eastAsia="宋体"/>
          <w:b w:val="0"/>
          <w:bCs w:val="0"/>
          <w:color w:val="auto"/>
          <w:highlight w:val="none"/>
        </w:rPr>
        <w:t>7．投标响应文件份数和签署</w:t>
      </w:r>
    </w:p>
    <w:p w14:paraId="434B0F86">
      <w:pPr>
        <w:pageBreakBefore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highlight w:val="none"/>
        </w:rPr>
      </w:pPr>
      <w:r>
        <w:rPr>
          <w:rFonts w:hint="eastAsia" w:ascii="宋体" w:hAnsi="宋体"/>
          <w:color w:val="auto"/>
          <w:sz w:val="24"/>
          <w:szCs w:val="24"/>
          <w:highlight w:val="none"/>
        </w:rPr>
        <w:t>17.1</w:t>
      </w:r>
      <w:r>
        <w:rPr>
          <w:rFonts w:hint="eastAsia" w:ascii="宋体" w:hAnsi="宋体"/>
          <w:b/>
          <w:color w:val="auto"/>
          <w:sz w:val="24"/>
          <w:szCs w:val="24"/>
          <w:highlight w:val="none"/>
        </w:rPr>
        <w:t xml:space="preserve"> </w:t>
      </w:r>
      <w:r>
        <w:rPr>
          <w:rFonts w:hint="eastAsia" w:ascii="宋体" w:hAnsi="宋体"/>
          <w:bCs/>
          <w:color w:val="auto"/>
          <w:sz w:val="24"/>
          <w:szCs w:val="24"/>
          <w:highlight w:val="none"/>
        </w:rPr>
        <w:t>投标人应严格按照采购公告要求的份数准备投标响应文件，每份投标响应文件须清楚地标明“正本”或“副本”字样。一旦正本和副本不符，以正本为准。</w:t>
      </w:r>
    </w:p>
    <w:p w14:paraId="57676022">
      <w:pPr>
        <w:pageBreakBefore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17.2 投标响应文件的正本和所有的副本均需打印或复印，正本由投标人法定代表人或其授权代表签字。授权代表须将法定代表人以书面形式出具的“法定代表人授权书”（原件）附在正本投标文件中。</w:t>
      </w:r>
    </w:p>
    <w:p w14:paraId="1D9286D3">
      <w:pPr>
        <w:pageBreakBefore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17.3 除投标人对错处做必要修改外，投标文件不得行间插字、涂改或增删。如有修改错漏处，必须由投标文件签署人签字或盖章。</w:t>
      </w:r>
    </w:p>
    <w:p w14:paraId="7F336E6B">
      <w:pPr>
        <w:pStyle w:val="5"/>
        <w:pageBreakBefore w:val="0"/>
        <w:kinsoku/>
        <w:wordWrap/>
        <w:overflowPunct/>
        <w:topLinePunct w:val="0"/>
        <w:autoSpaceDE/>
        <w:autoSpaceDN/>
        <w:bidi w:val="0"/>
        <w:spacing w:before="0" w:after="0" w:line="460" w:lineRule="exact"/>
        <w:ind w:firstLine="420" w:firstLineChars="150"/>
        <w:textAlignment w:val="auto"/>
        <w:rPr>
          <w:rFonts w:ascii="宋体" w:hAnsi="宋体" w:eastAsia="宋体"/>
          <w:b w:val="0"/>
          <w:bCs w:val="0"/>
          <w:color w:val="auto"/>
          <w:highlight w:val="none"/>
        </w:rPr>
      </w:pPr>
      <w:bookmarkStart w:id="55" w:name="_Toc462564084"/>
      <w:bookmarkStart w:id="56" w:name="_Toc16938541"/>
      <w:bookmarkStart w:id="57" w:name="_Toc513029225"/>
      <w:bookmarkStart w:id="58" w:name="_Toc20823297"/>
      <w:r>
        <w:rPr>
          <w:rFonts w:hint="eastAsia" w:ascii="宋体" w:hAnsi="宋体" w:eastAsia="宋体"/>
          <w:b w:val="0"/>
          <w:bCs w:val="0"/>
          <w:color w:val="auto"/>
          <w:highlight w:val="none"/>
        </w:rPr>
        <w:t>18．投标响应文件的密封和标记</w:t>
      </w:r>
      <w:bookmarkEnd w:id="55"/>
      <w:bookmarkEnd w:id="56"/>
      <w:bookmarkEnd w:id="57"/>
      <w:bookmarkEnd w:id="58"/>
    </w:p>
    <w:p w14:paraId="5396D6D6">
      <w:pPr>
        <w:pageBreakBefore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18.1投标人应将投标响应文件正本和所有副本密封。投标人在投标响应文件及相关文件的签订、履行、通知等事项的书面文件中的单位盖章、印章、公章等处均仅指与当事人名称全称相一致的公章。不符合本条规定的投标将被拒绝或做无效投标处理。</w:t>
      </w:r>
    </w:p>
    <w:p w14:paraId="42D7E603">
      <w:pPr>
        <w:pageBreakBefore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18.2 密封的投标响应文件应：</w:t>
      </w:r>
    </w:p>
    <w:p w14:paraId="088203A4">
      <w:pPr>
        <w:pageBreakBefore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 注明投标人名称，如因标注不清而产生的后果由投标人自负。按采购公告中注明的地址送达；</w:t>
      </w:r>
    </w:p>
    <w:p w14:paraId="5E71F1DC">
      <w:pPr>
        <w:pageBreakBefore w:val="0"/>
        <w:kinsoku/>
        <w:wordWrap/>
        <w:overflowPunct/>
        <w:topLinePunct w:val="0"/>
        <w:autoSpaceDE/>
        <w:autoSpaceDN/>
        <w:bidi w:val="0"/>
        <w:spacing w:line="460" w:lineRule="exact"/>
        <w:ind w:firstLine="480" w:firstLineChars="200"/>
        <w:textAlignment w:val="auto"/>
        <w:rPr>
          <w:rFonts w:hint="eastAsia" w:ascii="宋体" w:hAnsi="宋体"/>
          <w:b/>
          <w:bCs/>
          <w:color w:val="auto"/>
          <w:sz w:val="24"/>
          <w:szCs w:val="24"/>
          <w:highlight w:val="none"/>
        </w:rPr>
      </w:pPr>
      <w:r>
        <w:rPr>
          <w:rFonts w:hint="eastAsia" w:ascii="宋体" w:hAnsi="宋体"/>
          <w:bCs/>
          <w:color w:val="auto"/>
          <w:sz w:val="24"/>
          <w:szCs w:val="24"/>
          <w:highlight w:val="none"/>
        </w:rPr>
        <w:t>(2) 注明投标项目名称</w:t>
      </w:r>
      <w:r>
        <w:rPr>
          <w:rFonts w:hint="eastAsia" w:ascii="宋体" w:hAnsi="宋体"/>
          <w:b/>
          <w:bCs/>
          <w:color w:val="auto"/>
          <w:sz w:val="24"/>
          <w:highlight w:val="none"/>
        </w:rPr>
        <w:t>。</w:t>
      </w:r>
    </w:p>
    <w:p w14:paraId="726D9A6F">
      <w:pPr>
        <w:pageBreakBefore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18.3 如果投标响应文件被宣布为“迟到”投标时，应原封退回。</w:t>
      </w:r>
    </w:p>
    <w:p w14:paraId="3A81F19E">
      <w:pPr>
        <w:pageBreakBefore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18.4 未按要求密封和加盖公章，采购人对误投或过早启封概不负责。对由此造成提前开封的投标响应文件，采购人将予以拒绝，作无效投标处理。</w:t>
      </w:r>
    </w:p>
    <w:p w14:paraId="66E9AF9C">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highlight w:val="none"/>
        </w:rPr>
      </w:pPr>
      <w:r>
        <w:rPr>
          <w:rFonts w:hint="eastAsia" w:ascii="宋体" w:hAnsi="宋体"/>
          <w:bCs/>
          <w:color w:val="auto"/>
          <w:sz w:val="24"/>
          <w:szCs w:val="24"/>
          <w:highlight w:val="none"/>
        </w:rPr>
        <w:t>18.5不论投标人中标与否，投标响应文件均不退回。</w:t>
      </w:r>
    </w:p>
    <w:p w14:paraId="319BEF1B">
      <w:pPr>
        <w:pStyle w:val="200"/>
        <w:pageBreakBefore w:val="0"/>
        <w:tabs>
          <w:tab w:val="clear" w:pos="720"/>
        </w:tabs>
        <w:kinsoku/>
        <w:wordWrap/>
        <w:overflowPunct/>
        <w:topLinePunct w:val="0"/>
        <w:autoSpaceDE/>
        <w:autoSpaceDN/>
        <w:bidi w:val="0"/>
        <w:snapToGrid w:val="0"/>
        <w:spacing w:line="460" w:lineRule="exact"/>
        <w:ind w:left="-1" w:firstLine="321" w:firstLineChars="100"/>
        <w:textAlignment w:val="auto"/>
        <w:rPr>
          <w:rFonts w:hint="eastAsia" w:ascii="宋体" w:hAnsi="宋体" w:eastAsia="宋体"/>
          <w:color w:val="auto"/>
          <w:sz w:val="32"/>
          <w:szCs w:val="32"/>
          <w:highlight w:val="none"/>
        </w:rPr>
      </w:pPr>
      <w:r>
        <w:rPr>
          <w:rFonts w:hint="eastAsia" w:ascii="宋体" w:hAnsi="宋体" w:eastAsia="宋体"/>
          <w:color w:val="auto"/>
          <w:sz w:val="32"/>
          <w:szCs w:val="32"/>
          <w:highlight w:val="none"/>
        </w:rPr>
        <w:t>四、投标响应文件的递交</w:t>
      </w:r>
    </w:p>
    <w:p w14:paraId="797B17E0">
      <w:pPr>
        <w:pStyle w:val="5"/>
        <w:pageBreakBefore w:val="0"/>
        <w:kinsoku/>
        <w:wordWrap/>
        <w:overflowPunct/>
        <w:topLinePunct w:val="0"/>
        <w:autoSpaceDE/>
        <w:autoSpaceDN/>
        <w:bidi w:val="0"/>
        <w:spacing w:before="0" w:after="0" w:line="460" w:lineRule="exact"/>
        <w:ind w:firstLine="420" w:firstLineChars="150"/>
        <w:textAlignment w:val="auto"/>
        <w:rPr>
          <w:rFonts w:hint="eastAsia" w:ascii="宋体" w:hAnsi="宋体" w:eastAsia="宋体"/>
          <w:b w:val="0"/>
          <w:bCs w:val="0"/>
          <w:color w:val="auto"/>
          <w:highlight w:val="none"/>
        </w:rPr>
      </w:pPr>
      <w:r>
        <w:rPr>
          <w:rFonts w:hint="eastAsia" w:ascii="宋体" w:hAnsi="宋体" w:eastAsia="宋体"/>
          <w:b w:val="0"/>
          <w:bCs w:val="0"/>
          <w:color w:val="auto"/>
          <w:highlight w:val="none"/>
        </w:rPr>
        <w:t>19．投标截止日期</w:t>
      </w:r>
    </w:p>
    <w:p w14:paraId="53200FE4">
      <w:pPr>
        <w:pageBreakBefore w:val="0"/>
        <w:kinsoku/>
        <w:wordWrap/>
        <w:overflowPunct/>
        <w:topLinePunct w:val="0"/>
        <w:autoSpaceDE/>
        <w:autoSpaceDN/>
        <w:bidi w:val="0"/>
        <w:spacing w:line="460" w:lineRule="exact"/>
        <w:ind w:firstLine="480" w:firstLineChars="200"/>
        <w:textAlignment w:val="auto"/>
        <w:rPr>
          <w:rFonts w:ascii="宋体" w:hAnsi="宋体"/>
          <w:bCs/>
          <w:color w:val="auto"/>
          <w:sz w:val="24"/>
          <w:szCs w:val="24"/>
          <w:highlight w:val="none"/>
        </w:rPr>
      </w:pPr>
      <w:r>
        <w:rPr>
          <w:rFonts w:hint="eastAsia" w:ascii="宋体" w:hAnsi="宋体"/>
          <w:bCs/>
          <w:color w:val="auto"/>
          <w:sz w:val="24"/>
          <w:szCs w:val="24"/>
          <w:highlight w:val="none"/>
        </w:rPr>
        <w:t>19.1 采购人收到投标响应文件的时间不得迟于采购公告中规定的截止时间。</w:t>
      </w:r>
    </w:p>
    <w:p w14:paraId="4B074F58">
      <w:pPr>
        <w:pageBreakBefore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19.2 采购人可以按照规定，通过修改采购文件有权酌情延长投标截止日期，在此情况下，投标人的所有权利和义务以及投标人受制的截止日期均应以延长后新的截止日期为准。</w:t>
      </w:r>
    </w:p>
    <w:p w14:paraId="7113FA8D">
      <w:pPr>
        <w:pStyle w:val="5"/>
        <w:pageBreakBefore w:val="0"/>
        <w:kinsoku/>
        <w:wordWrap/>
        <w:overflowPunct/>
        <w:topLinePunct w:val="0"/>
        <w:autoSpaceDE/>
        <w:autoSpaceDN/>
        <w:bidi w:val="0"/>
        <w:spacing w:before="0" w:after="0" w:line="460" w:lineRule="exact"/>
        <w:ind w:firstLine="420" w:firstLineChars="150"/>
        <w:textAlignment w:val="auto"/>
        <w:rPr>
          <w:rFonts w:hint="eastAsia" w:ascii="宋体" w:hAnsi="宋体" w:eastAsia="宋体"/>
          <w:b w:val="0"/>
          <w:bCs w:val="0"/>
          <w:color w:val="auto"/>
          <w:highlight w:val="none"/>
        </w:rPr>
      </w:pPr>
      <w:r>
        <w:rPr>
          <w:rFonts w:ascii="宋体" w:hAnsi="宋体" w:eastAsia="宋体"/>
          <w:b w:val="0"/>
          <w:bCs w:val="0"/>
          <w:color w:val="auto"/>
          <w:highlight w:val="none"/>
        </w:rPr>
        <w:t>2</w:t>
      </w:r>
      <w:r>
        <w:rPr>
          <w:rFonts w:hint="eastAsia" w:ascii="宋体" w:hAnsi="宋体" w:eastAsia="宋体"/>
          <w:b w:val="0"/>
          <w:bCs w:val="0"/>
          <w:color w:val="auto"/>
          <w:highlight w:val="none"/>
        </w:rPr>
        <w:t>0．迟交的投标文件</w:t>
      </w:r>
    </w:p>
    <w:p w14:paraId="5D29D6B3">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bCs/>
          <w:color w:val="auto"/>
          <w:sz w:val="24"/>
          <w:szCs w:val="24"/>
          <w:highlight w:val="none"/>
        </w:rPr>
      </w:pPr>
      <w:r>
        <w:rPr>
          <w:rFonts w:hint="eastAsia" w:ascii="宋体" w:hAnsi="宋体"/>
          <w:color w:val="auto"/>
          <w:sz w:val="24"/>
          <w:szCs w:val="24"/>
          <w:highlight w:val="none"/>
        </w:rPr>
        <w:t>2</w:t>
      </w:r>
      <w:r>
        <w:rPr>
          <w:rFonts w:hint="eastAsia" w:ascii="宋体" w:hAnsi="宋体"/>
          <w:bCs/>
          <w:color w:val="auto"/>
          <w:sz w:val="24"/>
          <w:szCs w:val="24"/>
          <w:highlight w:val="none"/>
        </w:rPr>
        <w:t>0.1 采购人将拒绝并原封退回在其规定的投标截止时间后收到的任何投标文件。</w:t>
      </w:r>
    </w:p>
    <w:p w14:paraId="23A498BD">
      <w:pPr>
        <w:pStyle w:val="5"/>
        <w:pageBreakBefore w:val="0"/>
        <w:kinsoku/>
        <w:wordWrap/>
        <w:overflowPunct/>
        <w:topLinePunct w:val="0"/>
        <w:autoSpaceDE/>
        <w:autoSpaceDN/>
        <w:bidi w:val="0"/>
        <w:spacing w:before="0" w:after="0" w:line="460" w:lineRule="exact"/>
        <w:ind w:firstLine="420" w:firstLineChars="150"/>
        <w:textAlignment w:val="auto"/>
        <w:rPr>
          <w:rFonts w:hint="eastAsia" w:ascii="宋体" w:hAnsi="宋体" w:eastAsia="宋体"/>
          <w:b w:val="0"/>
          <w:bCs w:val="0"/>
          <w:color w:val="auto"/>
          <w:highlight w:val="none"/>
        </w:rPr>
      </w:pPr>
      <w:r>
        <w:rPr>
          <w:rFonts w:ascii="宋体" w:hAnsi="宋体" w:eastAsia="宋体"/>
          <w:b w:val="0"/>
          <w:bCs w:val="0"/>
          <w:color w:val="auto"/>
          <w:highlight w:val="none"/>
        </w:rPr>
        <w:t>2</w:t>
      </w:r>
      <w:r>
        <w:rPr>
          <w:rFonts w:hint="eastAsia" w:ascii="宋体" w:hAnsi="宋体" w:eastAsia="宋体"/>
          <w:b w:val="0"/>
          <w:bCs w:val="0"/>
          <w:color w:val="auto"/>
          <w:highlight w:val="none"/>
        </w:rPr>
        <w:t>1．投标响应文件的修改和撤回</w:t>
      </w:r>
    </w:p>
    <w:p w14:paraId="0A2A9827">
      <w:pPr>
        <w:pageBreakBefore w:val="0"/>
        <w:kinsoku/>
        <w:wordWrap/>
        <w:overflowPunct/>
        <w:topLinePunct w:val="0"/>
        <w:autoSpaceDE/>
        <w:autoSpaceDN/>
        <w:bidi w:val="0"/>
        <w:spacing w:line="460" w:lineRule="exact"/>
        <w:ind w:firstLine="480" w:firstLineChars="200"/>
        <w:textAlignment w:val="auto"/>
        <w:rPr>
          <w:rFonts w:ascii="宋体" w:hAnsi="宋体"/>
          <w:bCs/>
          <w:color w:val="auto"/>
          <w:sz w:val="24"/>
          <w:szCs w:val="24"/>
          <w:highlight w:val="none"/>
        </w:rPr>
      </w:pPr>
      <w:r>
        <w:rPr>
          <w:rFonts w:hint="eastAsia" w:ascii="宋体" w:hAnsi="宋体"/>
          <w:bCs/>
          <w:color w:val="auto"/>
          <w:sz w:val="24"/>
          <w:szCs w:val="24"/>
          <w:highlight w:val="none"/>
        </w:rPr>
        <w:t>21.1 投标人在递交投标响应文件后，可以修改或撤回其投标响应文件，但这种修改和撤回，必须在规定的投标截止时间前，以书面形式通知采购人，修改或撤回其投标响应文件。</w:t>
      </w:r>
    </w:p>
    <w:p w14:paraId="7C55F027">
      <w:pPr>
        <w:pageBreakBefore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21.2 投标人的修改或撤回文件应按规定进行编制、密封、标记和发送，并应在封套上加注“修改”和“撤回”字样。修改文件必须在投标截止时间前送达采购人。</w:t>
      </w:r>
    </w:p>
    <w:p w14:paraId="11659B3A">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highlight w:val="none"/>
        </w:rPr>
      </w:pPr>
      <w:r>
        <w:rPr>
          <w:rFonts w:hint="eastAsia" w:ascii="宋体" w:hAnsi="宋体"/>
          <w:bCs/>
          <w:color w:val="auto"/>
          <w:sz w:val="24"/>
          <w:szCs w:val="24"/>
          <w:highlight w:val="none"/>
        </w:rPr>
        <w:t>21.3 在投标截止时间之后，投标人不得对其投标文件作任何修改。</w:t>
      </w:r>
    </w:p>
    <w:p w14:paraId="56031AA5">
      <w:pPr>
        <w:pStyle w:val="200"/>
        <w:pageBreakBefore w:val="0"/>
        <w:tabs>
          <w:tab w:val="clear" w:pos="720"/>
        </w:tabs>
        <w:kinsoku/>
        <w:wordWrap/>
        <w:overflowPunct/>
        <w:topLinePunct w:val="0"/>
        <w:autoSpaceDE/>
        <w:autoSpaceDN/>
        <w:bidi w:val="0"/>
        <w:snapToGrid w:val="0"/>
        <w:spacing w:line="460" w:lineRule="exact"/>
        <w:ind w:left="-1" w:firstLine="321" w:firstLineChars="100"/>
        <w:textAlignment w:val="auto"/>
        <w:rPr>
          <w:rFonts w:hint="eastAsia" w:ascii="宋体" w:hAnsi="宋体" w:eastAsia="宋体"/>
          <w:color w:val="auto"/>
          <w:sz w:val="32"/>
          <w:szCs w:val="32"/>
          <w:highlight w:val="none"/>
        </w:rPr>
      </w:pPr>
      <w:r>
        <w:rPr>
          <w:rFonts w:hint="eastAsia" w:ascii="宋体" w:hAnsi="宋体" w:eastAsia="宋体"/>
          <w:color w:val="auto"/>
          <w:sz w:val="32"/>
          <w:szCs w:val="32"/>
          <w:highlight w:val="none"/>
        </w:rPr>
        <w:t>五、评审的程序和内容</w:t>
      </w:r>
    </w:p>
    <w:p w14:paraId="037F4174">
      <w:pPr>
        <w:pStyle w:val="5"/>
        <w:pageBreakBefore w:val="0"/>
        <w:kinsoku/>
        <w:wordWrap/>
        <w:overflowPunct/>
        <w:topLinePunct w:val="0"/>
        <w:autoSpaceDE/>
        <w:autoSpaceDN/>
        <w:bidi w:val="0"/>
        <w:spacing w:before="0" w:after="0" w:line="460" w:lineRule="exact"/>
        <w:ind w:firstLine="420" w:firstLineChars="150"/>
        <w:textAlignment w:val="auto"/>
        <w:rPr>
          <w:rFonts w:ascii="宋体" w:hAnsi="宋体" w:eastAsia="宋体"/>
          <w:b w:val="0"/>
          <w:bCs w:val="0"/>
          <w:color w:val="auto"/>
          <w:highlight w:val="none"/>
        </w:rPr>
      </w:pPr>
      <w:bookmarkStart w:id="59" w:name="_Toc20823302"/>
      <w:bookmarkStart w:id="60" w:name="_Toc513029230"/>
      <w:bookmarkStart w:id="61" w:name="_Toc16938546"/>
      <w:r>
        <w:rPr>
          <w:rFonts w:ascii="宋体" w:hAnsi="宋体" w:eastAsia="宋体"/>
          <w:b w:val="0"/>
          <w:bCs w:val="0"/>
          <w:color w:val="auto"/>
          <w:highlight w:val="none"/>
        </w:rPr>
        <w:t>2</w:t>
      </w:r>
      <w:r>
        <w:rPr>
          <w:rFonts w:hint="eastAsia" w:ascii="宋体" w:hAnsi="宋体" w:eastAsia="宋体"/>
          <w:b w:val="0"/>
          <w:bCs w:val="0"/>
          <w:color w:val="auto"/>
          <w:highlight w:val="none"/>
        </w:rPr>
        <w:t>2．</w:t>
      </w:r>
      <w:bookmarkEnd w:id="59"/>
      <w:bookmarkEnd w:id="60"/>
      <w:bookmarkEnd w:id="61"/>
      <w:r>
        <w:rPr>
          <w:rFonts w:hint="eastAsia" w:ascii="宋体" w:hAnsi="宋体" w:eastAsia="宋体"/>
          <w:b w:val="0"/>
          <w:bCs w:val="0"/>
          <w:color w:val="auto"/>
          <w:highlight w:val="none"/>
        </w:rPr>
        <w:t>投标人参加磋商</w:t>
      </w:r>
    </w:p>
    <w:p w14:paraId="55C77B8F">
      <w:pPr>
        <w:pageBreakBefore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22.1 在提交响应文件时间截止后，采购人在规定的时间和地点组织磋商小组分别与投标人进行磋商。投标人应委派携带有效证件的代表（授权代理人）准时参加。</w:t>
      </w:r>
    </w:p>
    <w:p w14:paraId="0F37503B">
      <w:pPr>
        <w:pStyle w:val="5"/>
        <w:pageBreakBefore w:val="0"/>
        <w:kinsoku/>
        <w:wordWrap/>
        <w:overflowPunct/>
        <w:topLinePunct w:val="0"/>
        <w:autoSpaceDE/>
        <w:autoSpaceDN/>
        <w:bidi w:val="0"/>
        <w:spacing w:before="0" w:after="0" w:line="460" w:lineRule="exact"/>
        <w:ind w:firstLine="420" w:firstLineChars="150"/>
        <w:textAlignment w:val="auto"/>
        <w:rPr>
          <w:rFonts w:hint="eastAsia" w:ascii="宋体" w:hAnsi="宋体" w:eastAsia="宋体"/>
          <w:b w:val="0"/>
          <w:bCs w:val="0"/>
          <w:color w:val="auto"/>
          <w:highlight w:val="none"/>
        </w:rPr>
      </w:pPr>
      <w:r>
        <w:rPr>
          <w:rFonts w:hint="eastAsia" w:ascii="宋体" w:hAnsi="宋体" w:eastAsia="宋体"/>
          <w:b w:val="0"/>
          <w:bCs w:val="0"/>
          <w:color w:val="auto"/>
          <w:highlight w:val="none"/>
        </w:rPr>
        <w:t>23．</w:t>
      </w:r>
      <w:r>
        <w:rPr>
          <w:rFonts w:hint="eastAsia" w:ascii="宋体" w:hAnsi="宋体" w:eastAsia="宋体" w:cs="宋体"/>
          <w:b w:val="0"/>
          <w:color w:val="auto"/>
          <w:kern w:val="0"/>
          <w:highlight w:val="none"/>
          <w:lang w:val="zh-CN"/>
        </w:rPr>
        <w:t>成立竞争性磋商小组</w:t>
      </w:r>
    </w:p>
    <w:p w14:paraId="790B9292">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23</w:t>
      </w:r>
      <w:r>
        <w:rPr>
          <w:rFonts w:hint="eastAsia" w:ascii="宋体" w:hAnsi="宋体" w:eastAsia="宋体" w:cs="Times New Roman"/>
          <w:bCs/>
          <w:color w:val="auto"/>
          <w:sz w:val="24"/>
          <w:szCs w:val="24"/>
          <w:highlight w:val="none"/>
          <w:lang w:val="zh-CN"/>
        </w:rPr>
        <w:t>.</w:t>
      </w:r>
      <w:r>
        <w:rPr>
          <w:rFonts w:hint="eastAsia" w:ascii="宋体" w:hAnsi="宋体" w:eastAsia="宋体" w:cs="Times New Roman"/>
          <w:bCs/>
          <w:color w:val="auto"/>
          <w:sz w:val="24"/>
          <w:szCs w:val="24"/>
          <w:highlight w:val="none"/>
        </w:rPr>
        <w:t>1</w:t>
      </w:r>
      <w:r>
        <w:rPr>
          <w:rFonts w:hint="eastAsia"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rPr>
        <w:t>磋商小组由评审专家、采购人代表组成，且人员构成符合政府采购有关规定。</w:t>
      </w:r>
    </w:p>
    <w:p w14:paraId="3AA96AFA">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23.2 磋商小组应当按照客观、公正、审慎的原则，根据采购文件规定的评审程序、评审方法和评审标准进行独立评审。</w:t>
      </w:r>
    </w:p>
    <w:p w14:paraId="480E1889">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23.3 磋商小组应当遵守评审工作纪律，不得泄露评审情况和评审中获悉的商业秘密。</w:t>
      </w:r>
    </w:p>
    <w:p w14:paraId="2F22C287">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23.4 采购文件内容违反国家有关强制性规定的，磋商小组应当停止评审并向采购人说明情况。</w:t>
      </w:r>
    </w:p>
    <w:p w14:paraId="6F83303F">
      <w:pPr>
        <w:pStyle w:val="5"/>
        <w:pageBreakBefore w:val="0"/>
        <w:kinsoku/>
        <w:wordWrap/>
        <w:overflowPunct/>
        <w:topLinePunct w:val="0"/>
        <w:autoSpaceDE/>
        <w:autoSpaceDN/>
        <w:bidi w:val="0"/>
        <w:spacing w:before="0" w:after="0" w:line="460" w:lineRule="exact"/>
        <w:ind w:firstLine="420" w:firstLineChars="150"/>
        <w:textAlignment w:val="auto"/>
        <w:rPr>
          <w:rFonts w:hint="eastAsia" w:ascii="宋体" w:hAnsi="宋体" w:eastAsia="宋体"/>
          <w:color w:val="auto"/>
          <w:highlight w:val="none"/>
        </w:rPr>
      </w:pPr>
      <w:r>
        <w:rPr>
          <w:rFonts w:hint="eastAsia" w:ascii="宋体" w:hAnsi="宋体" w:eastAsia="宋体"/>
          <w:b w:val="0"/>
          <w:bCs w:val="0"/>
          <w:color w:val="auto"/>
          <w:highlight w:val="none"/>
        </w:rPr>
        <w:t>24．</w:t>
      </w:r>
      <w:r>
        <w:rPr>
          <w:rFonts w:hint="eastAsia" w:ascii="宋体" w:hAnsi="宋体" w:eastAsia="宋体"/>
          <w:color w:val="auto"/>
          <w:highlight w:val="none"/>
        </w:rPr>
        <w:t>评审程序、内容</w:t>
      </w:r>
    </w:p>
    <w:p w14:paraId="1B1CF29F">
      <w:pPr>
        <w:pStyle w:val="82"/>
        <w:pageBreakBefore w:val="0"/>
        <w:kinsoku/>
        <w:wordWrap/>
        <w:overflowPunct/>
        <w:topLinePunct w:val="0"/>
        <w:autoSpaceDE/>
        <w:autoSpaceDN/>
        <w:bidi w:val="0"/>
        <w:spacing w:line="460" w:lineRule="exact"/>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 xml:space="preserve">24.1 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14:paraId="26D4EA10">
      <w:pPr>
        <w:pStyle w:val="82"/>
        <w:pageBreakBefore w:val="0"/>
        <w:kinsoku/>
        <w:wordWrap/>
        <w:overflowPunct/>
        <w:topLinePunct w:val="0"/>
        <w:autoSpaceDE/>
        <w:autoSpaceDN/>
        <w:bidi w:val="0"/>
        <w:spacing w:line="460" w:lineRule="exact"/>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D17FFA1">
      <w:pPr>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bCs/>
          <w:color w:val="auto"/>
          <w:highlight w:val="none"/>
        </w:rPr>
      </w:pPr>
      <w:r>
        <w:rPr>
          <w:rFonts w:hint="eastAsia" w:ascii="宋体" w:hAnsi="宋体"/>
          <w:bCs/>
          <w:color w:val="auto"/>
          <w:sz w:val="24"/>
          <w:szCs w:val="24"/>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接到磋商小组澄清要求的供应商如未按规定做出澄清，其风险由供应商自行承担。</w:t>
      </w:r>
    </w:p>
    <w:p w14:paraId="1055B5C9">
      <w:pPr>
        <w:pageBreakBefore w:val="0"/>
        <w:kinsoku/>
        <w:wordWrap/>
        <w:overflowPunct/>
        <w:topLinePunct w:val="0"/>
        <w:autoSpaceDE/>
        <w:autoSpaceDN/>
        <w:bidi w:val="0"/>
        <w:adjustRightInd w:val="0"/>
        <w:snapToGrid w:val="0"/>
        <w:spacing w:line="460" w:lineRule="exact"/>
        <w:ind w:firstLine="480" w:firstLineChars="200"/>
        <w:textAlignment w:val="auto"/>
        <w:rPr>
          <w:rFonts w:ascii="宋体" w:hAnsi="宋体"/>
          <w:bCs/>
          <w:color w:val="auto"/>
          <w:sz w:val="24"/>
          <w:szCs w:val="24"/>
          <w:highlight w:val="none"/>
        </w:rPr>
      </w:pPr>
      <w:r>
        <w:rPr>
          <w:rFonts w:hint="eastAsia" w:ascii="宋体" w:hAnsi="宋体"/>
          <w:bCs/>
          <w:color w:val="auto"/>
          <w:sz w:val="24"/>
          <w:szCs w:val="24"/>
          <w:highlight w:val="none"/>
        </w:rPr>
        <w:t>24.2</w:t>
      </w:r>
      <w:r>
        <w:rPr>
          <w:rFonts w:hint="eastAsia" w:ascii="宋体" w:hAnsi="宋体"/>
          <w:bCs/>
          <w:color w:val="auto"/>
          <w:highlight w:val="none"/>
        </w:rPr>
        <w:t xml:space="preserve"> </w:t>
      </w:r>
      <w:r>
        <w:rPr>
          <w:rFonts w:hint="eastAsia" w:ascii="宋体" w:hAnsi="宋体"/>
          <w:bCs/>
          <w:color w:val="auto"/>
          <w:sz w:val="24"/>
          <w:szCs w:val="24"/>
          <w:highlight w:val="none"/>
        </w:rPr>
        <w:t>对响应文件的初审</w:t>
      </w:r>
    </w:p>
    <w:p w14:paraId="4754DC9E">
      <w:pPr>
        <w:pageBreakBefore w:val="0"/>
        <w:kinsoku/>
        <w:wordWrap/>
        <w:overflowPunct/>
        <w:topLinePunct w:val="0"/>
        <w:autoSpaceDE/>
        <w:autoSpaceDN/>
        <w:bidi w:val="0"/>
        <w:adjustRightInd w:val="0"/>
        <w:snapToGrid w:val="0"/>
        <w:spacing w:line="460" w:lineRule="exact"/>
        <w:ind w:firstLine="480" w:firstLineChars="200"/>
        <w:textAlignment w:val="auto"/>
        <w:rPr>
          <w:rFonts w:ascii="宋体" w:hAnsi="宋体"/>
          <w:bCs/>
          <w:color w:val="auto"/>
          <w:sz w:val="24"/>
          <w:szCs w:val="24"/>
          <w:highlight w:val="none"/>
        </w:rPr>
      </w:pPr>
      <w:r>
        <w:rPr>
          <w:rFonts w:hint="eastAsia" w:ascii="宋体" w:hAnsi="宋体"/>
          <w:bCs/>
          <w:color w:val="auto"/>
          <w:sz w:val="24"/>
          <w:szCs w:val="24"/>
          <w:highlight w:val="none"/>
        </w:rPr>
        <w:t>响应文件初审分为资格性检查和符合性检查。</w:t>
      </w:r>
    </w:p>
    <w:p w14:paraId="3EFD9DB7">
      <w:pPr>
        <w:pageBreakBefore w:val="0"/>
        <w:kinsoku/>
        <w:wordWrap/>
        <w:overflowPunct/>
        <w:topLinePunct w:val="0"/>
        <w:autoSpaceDE/>
        <w:autoSpaceDN/>
        <w:bidi w:val="0"/>
        <w:adjustRightInd w:val="0"/>
        <w:snapToGrid w:val="0"/>
        <w:spacing w:line="460" w:lineRule="exact"/>
        <w:ind w:firstLine="480" w:firstLineChars="200"/>
        <w:textAlignment w:val="auto"/>
        <w:rPr>
          <w:rFonts w:ascii="宋体" w:hAnsi="宋体"/>
          <w:bCs/>
          <w:color w:val="auto"/>
          <w:sz w:val="24"/>
          <w:szCs w:val="24"/>
          <w:highlight w:val="none"/>
        </w:rPr>
      </w:pPr>
      <w:r>
        <w:rPr>
          <w:rFonts w:hint="eastAsia" w:ascii="宋体" w:hAnsi="宋体"/>
          <w:bCs/>
          <w:color w:val="auto"/>
          <w:sz w:val="24"/>
          <w:szCs w:val="24"/>
          <w:highlight w:val="none"/>
        </w:rPr>
        <w:t>资格性检查：依据法律法规和磋商文件的规定，对响应文件中的资信证明文件、磋商保证金等进行审查，以确定供应商是否具备参加磋商的资格。</w:t>
      </w:r>
    </w:p>
    <w:p w14:paraId="628E09DE">
      <w:pPr>
        <w:pageBreakBefore w:val="0"/>
        <w:kinsoku/>
        <w:wordWrap/>
        <w:overflowPunct/>
        <w:topLinePunct w:val="0"/>
        <w:autoSpaceDE/>
        <w:autoSpaceDN/>
        <w:bidi w:val="0"/>
        <w:adjustRightInd w:val="0"/>
        <w:snapToGrid w:val="0"/>
        <w:spacing w:line="460" w:lineRule="exact"/>
        <w:ind w:firstLine="480" w:firstLineChars="200"/>
        <w:textAlignment w:val="auto"/>
        <w:rPr>
          <w:rFonts w:ascii="宋体" w:hAnsi="宋体"/>
          <w:bCs/>
          <w:color w:val="auto"/>
          <w:sz w:val="24"/>
          <w:szCs w:val="24"/>
          <w:highlight w:val="none"/>
        </w:rPr>
      </w:pPr>
      <w:r>
        <w:rPr>
          <w:rFonts w:hint="eastAsia" w:ascii="宋体" w:hAnsi="宋体"/>
          <w:bCs/>
          <w:color w:val="auto"/>
          <w:sz w:val="24"/>
          <w:szCs w:val="24"/>
          <w:highlight w:val="none"/>
        </w:rPr>
        <w:t>磋商小组在进行资格性审查的同时，将在“信用中国”网站（www.creditchina.gov.cn）对供应商是否被列入失信被执行人、重大税收违法案件当事人名单、政府采购严重失信行为记录名单情况进行查询，以确定供应商是否具备参加磋商的资格。查询结果将以网页打印的形式留存并归档。</w:t>
      </w:r>
    </w:p>
    <w:p w14:paraId="470949B3">
      <w:pPr>
        <w:pageBreakBefore w:val="0"/>
        <w:kinsoku/>
        <w:wordWrap/>
        <w:overflowPunct/>
        <w:topLinePunct w:val="0"/>
        <w:autoSpaceDE/>
        <w:autoSpaceDN/>
        <w:bidi w:val="0"/>
        <w:adjustRightInd w:val="0"/>
        <w:snapToGrid w:val="0"/>
        <w:spacing w:line="460" w:lineRule="exact"/>
        <w:ind w:firstLine="480" w:firstLineChars="200"/>
        <w:textAlignment w:val="auto"/>
        <w:rPr>
          <w:rFonts w:ascii="宋体" w:hAnsi="宋体"/>
          <w:bCs/>
          <w:color w:val="auto"/>
          <w:sz w:val="24"/>
          <w:szCs w:val="24"/>
          <w:highlight w:val="none"/>
        </w:rPr>
      </w:pPr>
      <w:r>
        <w:rPr>
          <w:rFonts w:hint="eastAsia" w:ascii="宋体" w:hAnsi="宋体"/>
          <w:bCs/>
          <w:color w:val="auto"/>
          <w:sz w:val="24"/>
          <w:szCs w:val="24"/>
          <w:highlight w:val="none"/>
        </w:rPr>
        <w:t>符合性检查：依据磋商文件的规定，从响应文件的有效性、完整性和对磋商文件的响应程度进行审查，以确定是否对磋商文件的实质性要求作出响应。</w:t>
      </w:r>
    </w:p>
    <w:p w14:paraId="4BCF43F8">
      <w:pPr>
        <w:pageBreakBefore w:val="0"/>
        <w:kinsoku/>
        <w:wordWrap/>
        <w:overflowPunct/>
        <w:topLinePunct w:val="0"/>
        <w:autoSpaceDE/>
        <w:autoSpaceDN/>
        <w:bidi w:val="0"/>
        <w:adjustRightInd w:val="0"/>
        <w:snapToGrid w:val="0"/>
        <w:spacing w:line="460" w:lineRule="exact"/>
        <w:ind w:firstLine="480" w:firstLineChars="200"/>
        <w:textAlignment w:val="auto"/>
        <w:rPr>
          <w:rFonts w:ascii="宋体" w:hAnsi="宋体"/>
          <w:bCs/>
          <w:color w:val="auto"/>
          <w:sz w:val="24"/>
          <w:szCs w:val="24"/>
          <w:highlight w:val="none"/>
        </w:rPr>
      </w:pPr>
      <w:r>
        <w:rPr>
          <w:rFonts w:hint="eastAsia" w:ascii="宋体" w:hAnsi="宋体"/>
          <w:bCs/>
          <w:color w:val="auto"/>
          <w:sz w:val="24"/>
          <w:szCs w:val="24"/>
          <w:highlight w:val="none"/>
        </w:rPr>
        <w:t>在正式磋商之前，磋商小组将首先审查每份响应文件是否实质性响应了磋商文件的要求。实质性响应的响应文件应该是与磋商文件要求的条款、条件和规格相符，没有重大负偏离或保留。</w:t>
      </w:r>
    </w:p>
    <w:p w14:paraId="45982222">
      <w:pPr>
        <w:pageBreakBefore w:val="0"/>
        <w:kinsoku/>
        <w:wordWrap/>
        <w:overflowPunct/>
        <w:topLinePunct w:val="0"/>
        <w:autoSpaceDE/>
        <w:autoSpaceDN/>
        <w:bidi w:val="0"/>
        <w:adjustRightInd w:val="0"/>
        <w:snapToGrid w:val="0"/>
        <w:spacing w:line="460" w:lineRule="exact"/>
        <w:ind w:firstLine="480" w:firstLineChars="200"/>
        <w:textAlignment w:val="auto"/>
        <w:rPr>
          <w:rFonts w:ascii="宋体" w:hAnsi="宋体"/>
          <w:bCs/>
          <w:color w:val="auto"/>
          <w:sz w:val="24"/>
          <w:szCs w:val="24"/>
          <w:highlight w:val="none"/>
        </w:rPr>
      </w:pPr>
      <w:r>
        <w:rPr>
          <w:rFonts w:hint="eastAsia" w:ascii="宋体" w:hAnsi="宋体"/>
          <w:bCs/>
          <w:color w:val="auto"/>
          <w:sz w:val="24"/>
          <w:szCs w:val="24"/>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65E5045B">
      <w:pPr>
        <w:pageBreakBefore w:val="0"/>
        <w:kinsoku/>
        <w:wordWrap/>
        <w:overflowPunct/>
        <w:topLinePunct w:val="0"/>
        <w:autoSpaceDE/>
        <w:autoSpaceDN/>
        <w:bidi w:val="0"/>
        <w:adjustRightInd w:val="0"/>
        <w:snapToGrid w:val="0"/>
        <w:spacing w:line="460" w:lineRule="exact"/>
        <w:ind w:firstLine="480" w:firstLineChars="200"/>
        <w:textAlignment w:val="auto"/>
        <w:rPr>
          <w:rFonts w:ascii="宋体" w:hAnsi="宋体"/>
          <w:bCs/>
          <w:color w:val="auto"/>
          <w:sz w:val="24"/>
          <w:szCs w:val="24"/>
          <w:highlight w:val="none"/>
        </w:rPr>
      </w:pPr>
      <w:r>
        <w:rPr>
          <w:rFonts w:hint="eastAsia" w:ascii="宋体" w:hAnsi="宋体"/>
          <w:bCs/>
          <w:color w:val="auto"/>
          <w:sz w:val="24"/>
          <w:szCs w:val="24"/>
          <w:highlight w:val="none"/>
        </w:rPr>
        <w:t>未实质性响应磋商文件的响应文件按无效响应处理，磋商小组将予以拒绝，供应商不得通过修改或撤销不合要求的偏离或保留而使其响应文件成为实质性响应的文件。</w:t>
      </w:r>
    </w:p>
    <w:p w14:paraId="02BDA156">
      <w:pPr>
        <w:pageBreakBefore w:val="0"/>
        <w:kinsoku/>
        <w:wordWrap/>
        <w:overflowPunct/>
        <w:topLinePunct w:val="0"/>
        <w:autoSpaceDE/>
        <w:autoSpaceDN/>
        <w:bidi w:val="0"/>
        <w:adjustRightInd w:val="0"/>
        <w:snapToGrid w:val="0"/>
        <w:spacing w:line="460" w:lineRule="exact"/>
        <w:ind w:firstLine="480" w:firstLineChars="200"/>
        <w:textAlignment w:val="auto"/>
        <w:rPr>
          <w:rFonts w:ascii="宋体" w:hAnsi="宋体"/>
          <w:bCs/>
          <w:color w:val="auto"/>
          <w:sz w:val="24"/>
          <w:szCs w:val="24"/>
          <w:highlight w:val="none"/>
        </w:rPr>
      </w:pPr>
      <w:r>
        <w:rPr>
          <w:rFonts w:hint="eastAsia" w:ascii="宋体" w:hAnsi="宋体"/>
          <w:bCs/>
          <w:color w:val="auto"/>
          <w:sz w:val="24"/>
          <w:szCs w:val="24"/>
          <w:highlight w:val="none"/>
        </w:rPr>
        <w:t>24.3对于通过资格性和符合性审查的供应商，磋商小组所有成员应当集中与单一供应商分别进行磋商，并给予所有参加磋商的供应商平等的磋商机会。</w:t>
      </w:r>
    </w:p>
    <w:p w14:paraId="774907C1">
      <w:pPr>
        <w:pageBreakBefore w:val="0"/>
        <w:kinsoku/>
        <w:wordWrap/>
        <w:overflowPunct/>
        <w:topLinePunct w:val="0"/>
        <w:autoSpaceDE/>
        <w:autoSpaceDN/>
        <w:bidi w:val="0"/>
        <w:adjustRightInd w:val="0"/>
        <w:snapToGrid w:val="0"/>
        <w:spacing w:line="460" w:lineRule="exact"/>
        <w:ind w:firstLine="480" w:firstLineChars="200"/>
        <w:textAlignment w:val="auto"/>
        <w:rPr>
          <w:rFonts w:ascii="宋体" w:hAnsi="宋体"/>
          <w:bCs/>
          <w:color w:val="auto"/>
          <w:sz w:val="24"/>
          <w:szCs w:val="24"/>
          <w:highlight w:val="none"/>
        </w:rPr>
      </w:pPr>
      <w:r>
        <w:rPr>
          <w:rFonts w:hint="eastAsia" w:ascii="宋体" w:hAnsi="宋体"/>
          <w:bCs/>
          <w:color w:val="auto"/>
          <w:sz w:val="24"/>
          <w:szCs w:val="24"/>
          <w:highlight w:val="none"/>
        </w:rPr>
        <w:t>24.4 在磋商过程中，磋商小组可以根据磋商文件和磋商情况实质性变动采购需求中的技术、服务要求以及合同草案条款，但不得变动磋商文件中的其他内容。实质性变动的内容，须经采购人代表确认。</w:t>
      </w:r>
    </w:p>
    <w:p w14:paraId="2B6BC652">
      <w:pPr>
        <w:pageBreakBefore w:val="0"/>
        <w:kinsoku/>
        <w:wordWrap/>
        <w:overflowPunct/>
        <w:topLinePunct w:val="0"/>
        <w:autoSpaceDE/>
        <w:autoSpaceDN/>
        <w:bidi w:val="0"/>
        <w:adjustRightInd w:val="0"/>
        <w:snapToGrid w:val="0"/>
        <w:spacing w:line="460" w:lineRule="exact"/>
        <w:ind w:firstLine="480" w:firstLineChars="200"/>
        <w:textAlignment w:val="auto"/>
        <w:rPr>
          <w:rFonts w:ascii="宋体" w:hAnsi="宋体"/>
          <w:bCs/>
          <w:color w:val="auto"/>
          <w:sz w:val="24"/>
          <w:szCs w:val="24"/>
          <w:highlight w:val="none"/>
        </w:rPr>
      </w:pPr>
      <w:r>
        <w:rPr>
          <w:rFonts w:hint="eastAsia" w:ascii="宋体" w:hAnsi="宋体"/>
          <w:bCs/>
          <w:color w:val="auto"/>
          <w:sz w:val="24"/>
          <w:szCs w:val="24"/>
          <w:highlight w:val="none"/>
        </w:rPr>
        <w:t>对磋商文件作出的实质性变动是磋商文件的有效组成部分，磋商小组应当及时以书面形式同时通知所有参加磋商的供应商。</w:t>
      </w:r>
    </w:p>
    <w:p w14:paraId="405A67E8">
      <w:pPr>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bCs/>
          <w:color w:val="auto"/>
          <w:highlight w:val="none"/>
        </w:rPr>
      </w:pPr>
      <w:r>
        <w:rPr>
          <w:rFonts w:hint="eastAsia" w:ascii="宋体" w:hAnsi="宋体"/>
          <w:bCs/>
          <w:color w:val="auto"/>
          <w:sz w:val="24"/>
          <w:szCs w:val="24"/>
          <w:highlight w:val="none"/>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DD381BF">
      <w:pPr>
        <w:pStyle w:val="82"/>
        <w:pageBreakBefore w:val="0"/>
        <w:kinsoku/>
        <w:wordWrap/>
        <w:overflowPunct/>
        <w:topLinePunct w:val="0"/>
        <w:autoSpaceDE/>
        <w:autoSpaceDN/>
        <w:bidi w:val="0"/>
        <w:spacing w:line="460" w:lineRule="exact"/>
        <w:ind w:firstLine="482"/>
        <w:textAlignment w:val="auto"/>
        <w:rPr>
          <w:rFonts w:hint="eastAsia" w:ascii="宋体" w:hAnsi="宋体" w:eastAsia="宋体"/>
          <w:b/>
          <w:bCs/>
          <w:color w:val="auto"/>
          <w:highlight w:val="none"/>
        </w:rPr>
      </w:pPr>
      <w:r>
        <w:rPr>
          <w:rFonts w:hint="eastAsia" w:ascii="宋体" w:hAnsi="宋体" w:eastAsia="宋体"/>
          <w:b/>
          <w:bCs/>
          <w:color w:val="auto"/>
          <w:highlight w:val="none"/>
        </w:rPr>
        <w:t>24.</w:t>
      </w:r>
      <w:r>
        <w:rPr>
          <w:rFonts w:hint="eastAsia" w:ascii="宋体" w:hAnsi="宋体" w:eastAsia="宋体"/>
          <w:b/>
          <w:bCs/>
          <w:color w:val="auto"/>
          <w:highlight w:val="none"/>
          <w:lang w:val="en-US" w:eastAsia="zh-CN"/>
        </w:rPr>
        <w:t>5</w:t>
      </w:r>
      <w:r>
        <w:rPr>
          <w:rFonts w:hint="eastAsia" w:ascii="宋体" w:hAnsi="宋体" w:eastAsia="宋体"/>
          <w:b/>
          <w:bCs/>
          <w:color w:val="auto"/>
          <w:highlight w:val="none"/>
        </w:rPr>
        <w:t xml:space="preserve"> 磋商文件能够详细列明采购标的的技术、服务要求的，磋商结束后，磋商小组应当要求所有实质性响应的供应商在规定时间内提交最后报价。</w:t>
      </w:r>
    </w:p>
    <w:p w14:paraId="4A457803">
      <w:pPr>
        <w:pStyle w:val="82"/>
        <w:pageBreakBefore w:val="0"/>
        <w:kinsoku/>
        <w:wordWrap/>
        <w:overflowPunct/>
        <w:topLinePunct w:val="0"/>
        <w:autoSpaceDE/>
        <w:autoSpaceDN/>
        <w:bidi w:val="0"/>
        <w:spacing w:line="460" w:lineRule="exact"/>
        <w:textAlignment w:val="auto"/>
        <w:rPr>
          <w:rFonts w:hint="eastAsia" w:ascii="宋体" w:hAnsi="宋体" w:eastAsia="宋体"/>
          <w:bCs/>
          <w:color w:val="auto"/>
          <w:highlight w:val="none"/>
        </w:rPr>
      </w:pPr>
      <w:r>
        <w:rPr>
          <w:rFonts w:hint="eastAsia" w:ascii="宋体" w:hAnsi="宋体" w:eastAsia="宋体"/>
          <w:bCs/>
          <w:color w:val="auto"/>
          <w:highlight w:val="none"/>
        </w:rPr>
        <w:t>磋商文件不能详细列明采购标的技术、服务要求，需经磋商由供应商提供最终方案的，磋商结束后，磋商小组应当按照少数服从多数的原则投票确定出最终方案，并要求其在规定时间内提交最后报价。</w:t>
      </w:r>
    </w:p>
    <w:p w14:paraId="3FE5C5F4">
      <w:pPr>
        <w:pageBreakBefore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bCs/>
          <w:color w:val="auto"/>
          <w:highlight w:val="none"/>
        </w:rPr>
      </w:pPr>
      <w:r>
        <w:rPr>
          <w:rFonts w:hint="eastAsia" w:ascii="宋体" w:hAnsi="宋体"/>
          <w:b/>
          <w:bCs/>
          <w:color w:val="auto"/>
          <w:sz w:val="24"/>
          <w:szCs w:val="24"/>
          <w:highlight w:val="none"/>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14:paraId="192541B3">
      <w:pPr>
        <w:pStyle w:val="82"/>
        <w:pageBreakBefore w:val="0"/>
        <w:kinsoku/>
        <w:wordWrap/>
        <w:overflowPunct/>
        <w:topLinePunct w:val="0"/>
        <w:autoSpaceDE/>
        <w:autoSpaceDN/>
        <w:bidi w:val="0"/>
        <w:spacing w:line="460" w:lineRule="exact"/>
        <w:ind w:firstLine="482"/>
        <w:textAlignment w:val="auto"/>
        <w:rPr>
          <w:rFonts w:hint="eastAsia" w:ascii="宋体" w:hAnsi="宋体" w:eastAsia="宋体"/>
          <w:b/>
          <w:bCs/>
          <w:color w:val="auto"/>
          <w:highlight w:val="none"/>
        </w:rPr>
      </w:pPr>
      <w:r>
        <w:rPr>
          <w:rFonts w:hint="eastAsia" w:ascii="宋体" w:hAnsi="宋体" w:eastAsia="宋体"/>
          <w:b/>
          <w:bCs/>
          <w:color w:val="auto"/>
          <w:highlight w:val="none"/>
        </w:rPr>
        <w:t>24.</w:t>
      </w:r>
      <w:r>
        <w:rPr>
          <w:rFonts w:hint="eastAsia" w:ascii="宋体" w:hAnsi="宋体" w:eastAsia="宋体"/>
          <w:b/>
          <w:bCs/>
          <w:color w:val="auto"/>
          <w:highlight w:val="none"/>
          <w:lang w:val="en-US" w:eastAsia="zh-CN"/>
        </w:rPr>
        <w:t>6</w:t>
      </w:r>
      <w:r>
        <w:rPr>
          <w:rFonts w:hint="eastAsia" w:ascii="宋体" w:hAnsi="宋体" w:eastAsia="宋体"/>
          <w:b/>
          <w:bCs/>
          <w:color w:val="auto"/>
          <w:highlight w:val="none"/>
        </w:rPr>
        <w:t xml:space="preserve"> 最后报价是供应商响应文件的有效组成部分。</w:t>
      </w:r>
    </w:p>
    <w:p w14:paraId="5416DFB6">
      <w:pPr>
        <w:pStyle w:val="82"/>
        <w:pageBreakBefore w:val="0"/>
        <w:kinsoku/>
        <w:wordWrap/>
        <w:overflowPunct/>
        <w:topLinePunct w:val="0"/>
        <w:autoSpaceDE/>
        <w:autoSpaceDN/>
        <w:bidi w:val="0"/>
        <w:spacing w:line="460" w:lineRule="exact"/>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（1）倡导诚实报价，如磋商文件没有重大修改的，最后报价不能高于第一次报价，高于的作无效报价处理。</w:t>
      </w:r>
    </w:p>
    <w:p w14:paraId="7580FD4D">
      <w:pPr>
        <w:pageBreakBefore w:val="0"/>
        <w:kinsoku/>
        <w:wordWrap/>
        <w:overflowPunct/>
        <w:topLinePunct w:val="0"/>
        <w:autoSpaceDE/>
        <w:autoSpaceDN/>
        <w:bidi w:val="0"/>
        <w:spacing w:line="460" w:lineRule="exact"/>
        <w:ind w:firstLine="480" w:firstLineChars="200"/>
        <w:textAlignment w:val="auto"/>
        <w:rPr>
          <w:rFonts w:hint="eastAsia" w:ascii="宋体" w:hAnsi="宋体"/>
          <w:b w:val="0"/>
          <w:bCs w:val="0"/>
          <w:color w:val="auto"/>
          <w:sz w:val="24"/>
          <w:szCs w:val="24"/>
          <w:highlight w:val="none"/>
        </w:rPr>
      </w:pPr>
      <w:r>
        <w:rPr>
          <w:rFonts w:hint="eastAsia" w:ascii="宋体" w:hAnsi="宋体"/>
          <w:bCs/>
          <w:color w:val="auto"/>
          <w:sz w:val="24"/>
          <w:szCs w:val="24"/>
          <w:highlight w:val="none"/>
        </w:rPr>
        <w:t>（2）</w:t>
      </w:r>
      <w:r>
        <w:rPr>
          <w:rFonts w:hint="eastAsia" w:ascii="宋体" w:hAnsi="宋体"/>
          <w:b w:val="0"/>
          <w:bCs w:val="0"/>
          <w:color w:val="auto"/>
          <w:sz w:val="24"/>
          <w:szCs w:val="24"/>
          <w:highlight w:val="none"/>
        </w:rPr>
        <w:t>最后报价应包含本次采购项目的所有费用，</w:t>
      </w:r>
      <w:r>
        <w:rPr>
          <w:rFonts w:hint="eastAsia" w:ascii="宋体" w:hAnsi="宋体"/>
          <w:b/>
          <w:bCs/>
          <w:color w:val="auto"/>
          <w:sz w:val="24"/>
          <w:szCs w:val="24"/>
          <w:highlight w:val="none"/>
        </w:rPr>
        <w:t>包含但不限于各单位的投标报价应包含完成项目所需的人工费、包装费、材料费、运输费（含二次搬运）、利润、管理费、规费、税金、风险费以及完成相应工作内容的安全及防护费等一切费用，</w:t>
      </w:r>
      <w:r>
        <w:rPr>
          <w:rFonts w:hint="eastAsia" w:ascii="宋体" w:hAnsi="宋体"/>
          <w:b w:val="0"/>
          <w:bCs w:val="0"/>
          <w:color w:val="auto"/>
          <w:sz w:val="24"/>
          <w:szCs w:val="24"/>
          <w:highlight w:val="none"/>
        </w:rPr>
        <w:t>即响应本磋商文件规定的各项应有费用，采购文件中另有规定的除外。同时，报价也应包含合同履行过程中可能发生的一切风险。</w:t>
      </w:r>
    </w:p>
    <w:p w14:paraId="13756F82">
      <w:pPr>
        <w:pageBreakBefore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（3）供应商应充分考虑到市场价格变动，以及项目实施过程中的不可预见因素，一旦成交，总价格不变。如果有漏项，视同让利。</w:t>
      </w:r>
    </w:p>
    <w:p w14:paraId="3A966D0C">
      <w:pPr>
        <w:pageBreakBefore w:val="0"/>
        <w:kinsoku/>
        <w:wordWrap/>
        <w:overflowPunct/>
        <w:topLinePunct w:val="0"/>
        <w:autoSpaceDE/>
        <w:autoSpaceDN/>
        <w:bidi w:val="0"/>
        <w:spacing w:line="460" w:lineRule="exact"/>
        <w:ind w:firstLine="482" w:firstLineChars="200"/>
        <w:textAlignment w:val="auto"/>
        <w:rPr>
          <w:rFonts w:hint="eastAsia" w:ascii="宋体" w:hAnsi="宋体"/>
          <w:b/>
          <w:bCs w:val="0"/>
          <w:color w:val="auto"/>
          <w:sz w:val="24"/>
          <w:szCs w:val="24"/>
          <w:highlight w:val="none"/>
        </w:rPr>
      </w:pPr>
      <w:r>
        <w:rPr>
          <w:rFonts w:hint="eastAsia" w:ascii="宋体" w:hAnsi="宋体"/>
          <w:b/>
          <w:bCs w:val="0"/>
          <w:color w:val="auto"/>
          <w:sz w:val="24"/>
          <w:szCs w:val="24"/>
          <w:highlight w:val="none"/>
        </w:rPr>
        <w:t>24.</w:t>
      </w:r>
      <w:r>
        <w:rPr>
          <w:rFonts w:hint="eastAsia" w:ascii="宋体" w:hAnsi="宋体"/>
          <w:b/>
          <w:bCs w:val="0"/>
          <w:color w:val="auto"/>
          <w:sz w:val="24"/>
          <w:szCs w:val="24"/>
          <w:highlight w:val="none"/>
          <w:lang w:val="en-US" w:eastAsia="zh-CN"/>
        </w:rPr>
        <w:t>7</w:t>
      </w:r>
      <w:r>
        <w:rPr>
          <w:rFonts w:hint="eastAsia" w:ascii="宋体" w:hAnsi="宋体"/>
          <w:b/>
          <w:bCs w:val="0"/>
          <w:color w:val="auto"/>
          <w:sz w:val="24"/>
          <w:szCs w:val="24"/>
          <w:highlight w:val="none"/>
        </w:rPr>
        <w:t xml:space="preserve"> 已提交投标响应文件的供应商，在提交最后报价之前，可以根据磋商情况退出磋商。采购人应当退还退出磋商的供应商的保证金。</w:t>
      </w:r>
    </w:p>
    <w:p w14:paraId="3DFF40C0">
      <w:pPr>
        <w:pageBreakBefore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8</w:t>
      </w:r>
      <w:r>
        <w:rPr>
          <w:rFonts w:hint="eastAsia" w:ascii="宋体" w:hAnsi="宋体"/>
          <w:bCs/>
          <w:color w:val="auto"/>
          <w:sz w:val="24"/>
          <w:szCs w:val="24"/>
          <w:highlight w:val="none"/>
        </w:rPr>
        <w:t>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691DFBCF">
      <w:pPr>
        <w:pageBreakBefore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623C4C82">
      <w:pPr>
        <w:pageBreakBefore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非单一产品采购项目，招标文件中将载明其中的核心产品。多家投标人提供的核心产品品牌相同的，按前两款规定处理。</w:t>
      </w:r>
    </w:p>
    <w:p w14:paraId="3BF03FCA">
      <w:pPr>
        <w:pageBreakBefore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24.</w:t>
      </w: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 xml:space="preserve"> 磋商时间由磋商小组掌握。</w:t>
      </w:r>
    </w:p>
    <w:p w14:paraId="6B58B109">
      <w:pPr>
        <w:pStyle w:val="5"/>
        <w:keepNext w:val="0"/>
        <w:keepLines w:val="0"/>
        <w:pageBreakBefore w:val="0"/>
        <w:kinsoku/>
        <w:wordWrap/>
        <w:overflowPunct/>
        <w:topLinePunct w:val="0"/>
        <w:autoSpaceDE/>
        <w:autoSpaceDN/>
        <w:bidi w:val="0"/>
        <w:spacing w:before="0" w:after="0" w:line="460" w:lineRule="exact"/>
        <w:ind w:firstLine="313" w:firstLineChars="112"/>
        <w:textAlignment w:val="auto"/>
        <w:rPr>
          <w:rFonts w:hint="eastAsia" w:ascii="宋体" w:hAnsi="宋体" w:eastAsia="宋体"/>
          <w:b w:val="0"/>
          <w:bCs w:val="0"/>
          <w:color w:val="auto"/>
          <w:highlight w:val="none"/>
        </w:rPr>
      </w:pPr>
      <w:bookmarkStart w:id="62" w:name="_Toc20823306"/>
      <w:bookmarkStart w:id="63" w:name="_Toc16938550"/>
      <w:bookmarkStart w:id="64" w:name="_Toc513029234"/>
      <w:r>
        <w:rPr>
          <w:rFonts w:ascii="宋体" w:hAnsi="宋体" w:eastAsia="宋体"/>
          <w:b w:val="0"/>
          <w:bCs w:val="0"/>
          <w:color w:val="auto"/>
          <w:highlight w:val="none"/>
        </w:rPr>
        <w:t>2</w:t>
      </w:r>
      <w:bookmarkEnd w:id="62"/>
      <w:bookmarkEnd w:id="63"/>
      <w:bookmarkEnd w:id="64"/>
      <w:r>
        <w:rPr>
          <w:rFonts w:hint="eastAsia" w:ascii="宋体" w:hAnsi="宋体" w:eastAsia="宋体"/>
          <w:b w:val="0"/>
          <w:bCs w:val="0"/>
          <w:color w:val="auto"/>
          <w:highlight w:val="none"/>
        </w:rPr>
        <w:t>5．无效投标条款和项目终止条款</w:t>
      </w:r>
    </w:p>
    <w:p w14:paraId="54017C92">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5.1无效投标条款</w:t>
      </w:r>
    </w:p>
    <w:p w14:paraId="73F4ABA3">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（1）未按要求交纳投标保证金的；</w:t>
      </w:r>
    </w:p>
    <w:p w14:paraId="099E6070">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（2）未按照采购文件规定要求密封、签署、盖章的；投标响应文件未按规定的格式、内容和要求编制、投标文件字迹潦草、模糊、无法辩认的；</w:t>
      </w:r>
    </w:p>
    <w:p w14:paraId="34896C4D">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（3）在报价时采用选择性报价；</w:t>
      </w:r>
    </w:p>
    <w:p w14:paraId="2D1F05A6">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（4）不具备采购文件中规定资格要求的；</w:t>
      </w:r>
    </w:p>
    <w:p w14:paraId="37E3E4C9">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（5）对采购文件未能作出全面实质性响应或对采购文件进行实质性修改的；</w:t>
      </w:r>
    </w:p>
    <w:p w14:paraId="1B3CB2EE">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（6）不符合法律、法规和采购文件中规定的其他实质性要求的；</w:t>
      </w:r>
    </w:p>
    <w:p w14:paraId="65CC2327">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（7）供应商有欺诈行为或隐瞒自身违规问题的，提供虚假材料的；</w:t>
      </w:r>
    </w:p>
    <w:p w14:paraId="6153B514">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（8）不同供应商委托同一个人办理投标事宜的，不同供应商的投标文件载明的项目管理成员为同一人的，不同供应商的投标文件异常一致的；</w:t>
      </w:r>
    </w:p>
    <w:p w14:paraId="467E72D3">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（9）最后磋商报价超过</w:t>
      </w:r>
      <w:r>
        <w:rPr>
          <w:rFonts w:hint="eastAsia" w:ascii="宋体" w:hAnsi="宋体"/>
          <w:color w:val="auto"/>
          <w:sz w:val="24"/>
          <w:szCs w:val="24"/>
          <w:highlight w:val="none"/>
          <w:lang w:val="en-US" w:eastAsia="zh-CN"/>
        </w:rPr>
        <w:t>采购预算价</w:t>
      </w:r>
      <w:r>
        <w:rPr>
          <w:rFonts w:hint="eastAsia" w:ascii="宋体" w:hAnsi="宋体"/>
          <w:color w:val="auto"/>
          <w:sz w:val="24"/>
          <w:szCs w:val="24"/>
          <w:highlight w:val="none"/>
        </w:rPr>
        <w:t>的；</w:t>
      </w:r>
    </w:p>
    <w:p w14:paraId="76BB075E">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（10）其他法律、法规及本采购文件规定的属无效投标的情形。</w:t>
      </w:r>
    </w:p>
    <w:p w14:paraId="227B6295">
      <w:pPr>
        <w:pageBreakBefore w:val="0"/>
        <w:kinsoku/>
        <w:wordWrap/>
        <w:overflowPunct/>
        <w:topLinePunct w:val="0"/>
        <w:autoSpaceDE/>
        <w:autoSpaceDN/>
        <w:bidi w:val="0"/>
        <w:spacing w:line="460" w:lineRule="exact"/>
        <w:ind w:firstLine="480" w:firstLineChars="200"/>
        <w:textAlignment w:val="auto"/>
        <w:rPr>
          <w:rFonts w:hint="eastAsia"/>
          <w:color w:val="auto"/>
          <w:highlight w:val="none"/>
        </w:rPr>
      </w:pPr>
      <w:r>
        <w:rPr>
          <w:rFonts w:hint="eastAsia" w:ascii="宋体" w:hAnsi="宋体"/>
          <w:color w:val="auto"/>
          <w:sz w:val="24"/>
          <w:szCs w:val="24"/>
          <w:highlight w:val="none"/>
        </w:rPr>
        <w:t>（11）</w:t>
      </w:r>
      <w:r>
        <w:rPr>
          <w:rFonts w:ascii="宋体" w:hAnsi="宋体"/>
          <w:color w:val="auto"/>
          <w:sz w:val="24"/>
          <w:szCs w:val="24"/>
          <w:highlight w:val="none"/>
        </w:rPr>
        <w:t>投标人被 “信用中国”网站（www.creditchina.gov.cn）列入失信被执行人或重大税收违法案件当事人名单或政府采购严重失信行为记录名单</w:t>
      </w:r>
      <w:r>
        <w:rPr>
          <w:rFonts w:hint="eastAsia" w:ascii="宋体" w:hAnsi="宋体"/>
          <w:color w:val="auto"/>
          <w:sz w:val="24"/>
          <w:szCs w:val="24"/>
          <w:highlight w:val="none"/>
        </w:rPr>
        <w:t>。</w:t>
      </w:r>
    </w:p>
    <w:p w14:paraId="62D3773B">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25.2出现下列情形之一的，磋商终止：</w:t>
      </w:r>
    </w:p>
    <w:p w14:paraId="36680409">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（1）因情况变化，不再符合规定的竞争性磋商采购方式适用情形的；</w:t>
      </w:r>
    </w:p>
    <w:p w14:paraId="12124EB5">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（2）出现影响采购公正的违法、违规行为的；</w:t>
      </w:r>
    </w:p>
    <w:p w14:paraId="2FE27FEE">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除《政府采购竞争性磋商采购方式管理暂行办法（财库[2014]214号）》第三条第四项及《财政部关于竞争性磋商采购方式管理暂行办法有关问题的补充通知》（财库[2015]124号）规定的情形外，在采购过程中符合要求的供应商或者报价未超过采购预算的供应商不足三家的；</w:t>
      </w:r>
    </w:p>
    <w:p w14:paraId="1DBEF174">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25.3变更为其他方式采购的情形</w:t>
      </w:r>
    </w:p>
    <w:p w14:paraId="23223425">
      <w:pPr>
        <w:pageBreakBefore w:val="0"/>
        <w:kinsoku/>
        <w:wordWrap/>
        <w:overflowPunct/>
        <w:topLinePunct w:val="0"/>
        <w:autoSpaceDE/>
        <w:autoSpaceDN/>
        <w:bidi w:val="0"/>
        <w:spacing w:line="460" w:lineRule="exact"/>
        <w:ind w:firstLine="482" w:firstLineChars="200"/>
        <w:textAlignment w:val="auto"/>
        <w:rPr>
          <w:rFonts w:ascii="宋体" w:hAnsi="宋体"/>
          <w:b/>
          <w:color w:val="auto"/>
          <w:sz w:val="24"/>
          <w:szCs w:val="24"/>
          <w:highlight w:val="none"/>
        </w:rPr>
      </w:pPr>
      <w:r>
        <w:rPr>
          <w:rFonts w:hint="eastAsia" w:ascii="宋体" w:hAnsi="宋体"/>
          <w:b/>
          <w:color w:val="auto"/>
          <w:sz w:val="24"/>
          <w:szCs w:val="24"/>
          <w:highlight w:val="none"/>
        </w:rPr>
        <w:t>提交响应文件截止时间时参加磋商的供应商不足3家的，及磋商中出现符合专业条件的供应商或对磋商文件作实质响应的供应商不足3家（规定或经批准可以2家的情形除外），除采购任务取消外，采购人报告政府采购监管部门，经批准后将视情况采取其他方式继续组织采购。磋商文件中对供应商资质、技术等要求，将作为其他方式采购的基本要求和依据。原已经参加磋商并符合要求的供应商，根据自愿原则，参加其他方式采购。</w:t>
      </w:r>
    </w:p>
    <w:p w14:paraId="1826806E">
      <w:pPr>
        <w:pStyle w:val="200"/>
        <w:pageBreakBefore w:val="0"/>
        <w:tabs>
          <w:tab w:val="clear" w:pos="720"/>
        </w:tabs>
        <w:kinsoku/>
        <w:wordWrap/>
        <w:overflowPunct/>
        <w:topLinePunct w:val="0"/>
        <w:autoSpaceDE/>
        <w:autoSpaceDN/>
        <w:bidi w:val="0"/>
        <w:snapToGrid w:val="0"/>
        <w:spacing w:line="460" w:lineRule="exact"/>
        <w:ind w:left="-1" w:firstLine="321" w:firstLineChars="100"/>
        <w:textAlignment w:val="auto"/>
        <w:rPr>
          <w:rFonts w:ascii="宋体" w:hAnsi="宋体" w:eastAsia="宋体"/>
          <w:color w:val="auto"/>
          <w:sz w:val="32"/>
          <w:szCs w:val="32"/>
          <w:highlight w:val="none"/>
        </w:rPr>
      </w:pPr>
      <w:r>
        <w:rPr>
          <w:rFonts w:hint="eastAsia" w:ascii="宋体" w:hAnsi="宋体" w:eastAsia="宋体"/>
          <w:color w:val="auto"/>
          <w:sz w:val="32"/>
          <w:szCs w:val="32"/>
          <w:highlight w:val="none"/>
        </w:rPr>
        <w:t xml:space="preserve">六、定标  </w:t>
      </w:r>
    </w:p>
    <w:p w14:paraId="6EE57DC7">
      <w:pPr>
        <w:pStyle w:val="5"/>
        <w:pageBreakBefore w:val="0"/>
        <w:kinsoku/>
        <w:wordWrap/>
        <w:overflowPunct/>
        <w:topLinePunct w:val="0"/>
        <w:autoSpaceDE/>
        <w:autoSpaceDN/>
        <w:bidi w:val="0"/>
        <w:spacing w:before="0" w:after="0" w:line="460" w:lineRule="exact"/>
        <w:ind w:firstLine="560" w:firstLineChars="200"/>
        <w:textAlignment w:val="auto"/>
        <w:rPr>
          <w:rFonts w:ascii="宋体" w:hAnsi="宋体" w:eastAsia="宋体"/>
          <w:b w:val="0"/>
          <w:bCs w:val="0"/>
          <w:color w:val="auto"/>
          <w:highlight w:val="none"/>
        </w:rPr>
      </w:pPr>
      <w:bookmarkStart w:id="65" w:name="_Toc513029238"/>
      <w:r>
        <w:rPr>
          <w:rFonts w:hint="eastAsia" w:ascii="宋体" w:hAnsi="宋体" w:eastAsia="宋体"/>
          <w:b w:val="0"/>
          <w:bCs w:val="0"/>
          <w:color w:val="auto"/>
          <w:highlight w:val="none"/>
        </w:rPr>
        <w:t>2</w:t>
      </w:r>
      <w:bookmarkEnd w:id="65"/>
      <w:r>
        <w:rPr>
          <w:rFonts w:hint="eastAsia" w:ascii="宋体" w:hAnsi="宋体" w:eastAsia="宋体"/>
          <w:b w:val="0"/>
          <w:bCs w:val="0"/>
          <w:color w:val="auto"/>
          <w:highlight w:val="none"/>
        </w:rPr>
        <w:t>6．确定成交单位</w:t>
      </w:r>
    </w:p>
    <w:p w14:paraId="438A9C6C">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26.1磋商小组根据本采购文件规定评分办法与评分标准，向采购人推荐出成交候选人或受采购人委托直接确定成交人。任何单项因素的最优不能作为成交的保证。</w:t>
      </w:r>
    </w:p>
    <w:p w14:paraId="6422FAB0">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26.2如推荐成交候选人的，由采购人根据磋商小组推荐的成交候选人（多名候选人的根据排名顺序依次）确定成交人。</w:t>
      </w:r>
    </w:p>
    <w:p w14:paraId="4B15507F">
      <w:pPr>
        <w:pageBreakBefore w:val="0"/>
        <w:kinsoku/>
        <w:wordWrap/>
        <w:overflowPunct/>
        <w:topLinePunct w:val="0"/>
        <w:autoSpaceDE/>
        <w:autoSpaceDN/>
        <w:bidi w:val="0"/>
        <w:spacing w:line="460" w:lineRule="exact"/>
        <w:ind w:firstLine="480" w:firstLineChars="200"/>
        <w:textAlignment w:val="auto"/>
        <w:rPr>
          <w:rFonts w:hint="eastAsia" w:ascii="宋体" w:hAnsi="宋体"/>
          <w:b/>
          <w:color w:val="auto"/>
          <w:sz w:val="24"/>
          <w:szCs w:val="24"/>
          <w:highlight w:val="none"/>
        </w:rPr>
      </w:pPr>
      <w:r>
        <w:rPr>
          <w:rFonts w:hint="eastAsia" w:ascii="宋体" w:hAnsi="宋体"/>
          <w:color w:val="auto"/>
          <w:sz w:val="24"/>
          <w:szCs w:val="24"/>
          <w:highlight w:val="none"/>
        </w:rPr>
        <w:t>26.3</w:t>
      </w:r>
      <w:r>
        <w:rPr>
          <w:rFonts w:hint="eastAsia" w:ascii="宋体" w:hAnsi="宋体"/>
          <w:b/>
          <w:color w:val="auto"/>
          <w:sz w:val="24"/>
          <w:szCs w:val="24"/>
          <w:highlight w:val="none"/>
        </w:rPr>
        <w:t>评审结束后，成交人名单将在“如东县限额交易平台”网站进行公示，公示时间为一个工作日。</w:t>
      </w:r>
    </w:p>
    <w:p w14:paraId="151B29D7">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26.4若有充分证据证明，成交人出现下列情况之一的，一经查实，将被取消成交资格：</w:t>
      </w:r>
    </w:p>
    <w:p w14:paraId="23E3BC27">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（1）提供虚假材料谋取成交的；</w:t>
      </w:r>
    </w:p>
    <w:p w14:paraId="564A3AC0">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（2）与评审专家、采购人、其他供应商或者采购工作人员恶意串通的；</w:t>
      </w:r>
    </w:p>
    <w:p w14:paraId="266F6FEA">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（3）向评审专家、采购人或采购工作人员行贿或者提供其他不正当利益的；</w:t>
      </w:r>
    </w:p>
    <w:p w14:paraId="2907335A">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（4）不满足本采购文件规定的实质性要求，但在评标过程中又未被磋商小组发现的；</w:t>
      </w:r>
    </w:p>
    <w:p w14:paraId="15FB8870">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（5）不符合法律、法规的规定的其他情形。</w:t>
      </w:r>
    </w:p>
    <w:p w14:paraId="0EEE569F">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在此情况下一经认定，报经政府采购监督管理部门批准，采购人有权重新组织采购。</w:t>
      </w:r>
    </w:p>
    <w:p w14:paraId="7D5249D1">
      <w:pPr>
        <w:pStyle w:val="5"/>
        <w:pageBreakBefore w:val="0"/>
        <w:kinsoku/>
        <w:wordWrap/>
        <w:overflowPunct/>
        <w:topLinePunct w:val="0"/>
        <w:autoSpaceDE/>
        <w:autoSpaceDN/>
        <w:bidi w:val="0"/>
        <w:spacing w:before="0" w:after="0" w:line="460" w:lineRule="exact"/>
        <w:ind w:firstLine="560" w:firstLineChars="200"/>
        <w:textAlignment w:val="auto"/>
        <w:rPr>
          <w:rFonts w:hint="eastAsia" w:ascii="宋体" w:hAnsi="宋体" w:eastAsia="宋体"/>
          <w:b w:val="0"/>
          <w:bCs w:val="0"/>
          <w:color w:val="auto"/>
          <w:highlight w:val="none"/>
        </w:rPr>
      </w:pPr>
      <w:r>
        <w:rPr>
          <w:rFonts w:hint="eastAsia" w:ascii="宋体" w:hAnsi="宋体" w:eastAsia="宋体"/>
          <w:b w:val="0"/>
          <w:bCs w:val="0"/>
          <w:color w:val="auto"/>
          <w:highlight w:val="none"/>
        </w:rPr>
        <w:t>27．质疑处理</w:t>
      </w:r>
    </w:p>
    <w:p w14:paraId="185EB7FD">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27.1参加投标供应商认为采购过程和采购结果使自己的权益受到损害的，可以从领取采购文件和采购结果公布之日起七个工作日内，以书面形式向采购人提出质疑。非书面形式、七个工作日之外提交以及匿名的质疑将不予受理 。</w:t>
      </w:r>
    </w:p>
    <w:p w14:paraId="41735067">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27.2质疑应由投标供应商法定代表人或参加投标的授权委托人签署并盖公章（原件），质疑必须以参加投标供应商法定代表人或授权代表（投标文件中所确定的）送达的方式提交，未按上述要求提交的质疑函（含传真、电子邮件等）</w:t>
      </w:r>
      <w:r>
        <w:rPr>
          <w:rFonts w:hint="eastAsia" w:ascii="宋体" w:hAnsi="宋体"/>
          <w:bCs/>
          <w:color w:val="auto"/>
          <w:sz w:val="24"/>
          <w:szCs w:val="24"/>
          <w:highlight w:val="none"/>
        </w:rPr>
        <w:t>采购人</w:t>
      </w:r>
      <w:r>
        <w:rPr>
          <w:rFonts w:hint="eastAsia" w:ascii="宋体" w:hAnsi="宋体"/>
          <w:color w:val="auto"/>
          <w:sz w:val="24"/>
          <w:szCs w:val="24"/>
          <w:highlight w:val="none"/>
        </w:rPr>
        <w:t>有权不予受理。</w:t>
      </w:r>
    </w:p>
    <w:p w14:paraId="39105CB4">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27.3未参加投标的供应商或在投标活动中本身权益未受到损害或从投标活动中收益的供应商所提出的质疑也不予受理。</w:t>
      </w:r>
    </w:p>
    <w:p w14:paraId="1E2A0514">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27.4</w:t>
      </w:r>
      <w:r>
        <w:rPr>
          <w:rFonts w:hint="eastAsia" w:ascii="宋体" w:hAnsi="宋体"/>
          <w:bCs/>
          <w:color w:val="auto"/>
          <w:sz w:val="24"/>
          <w:szCs w:val="24"/>
          <w:highlight w:val="none"/>
        </w:rPr>
        <w:t>采购人</w:t>
      </w:r>
      <w:r>
        <w:rPr>
          <w:rFonts w:hint="eastAsia" w:ascii="宋体" w:hAnsi="宋体"/>
          <w:color w:val="auto"/>
          <w:sz w:val="24"/>
          <w:szCs w:val="24"/>
          <w:highlight w:val="none"/>
        </w:rPr>
        <w:t>将在收到投标供应商的书面质疑后七个工作日内作出答复，并以书面形式通知质疑供应商和其他有关供应商，但答复的内容不得涉及商业秘密。</w:t>
      </w:r>
    </w:p>
    <w:p w14:paraId="038FCE5F">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27.5投标人提出书面质疑必须有理、有据，不得恶意质疑或提交虚假质疑。否则，一经查实，</w:t>
      </w:r>
      <w:r>
        <w:rPr>
          <w:rFonts w:hint="eastAsia" w:ascii="宋体" w:hAnsi="宋体"/>
          <w:bCs/>
          <w:color w:val="auto"/>
          <w:sz w:val="24"/>
          <w:szCs w:val="24"/>
          <w:highlight w:val="none"/>
        </w:rPr>
        <w:t>采购人</w:t>
      </w:r>
      <w:r>
        <w:rPr>
          <w:rFonts w:hint="eastAsia" w:ascii="宋体" w:hAnsi="宋体"/>
          <w:color w:val="auto"/>
          <w:sz w:val="24"/>
          <w:szCs w:val="24"/>
          <w:highlight w:val="none"/>
        </w:rPr>
        <w:t>有权依据政府采购的有关规定，报请政府采购监管部门对该投标人进行相应的行政处罚。</w:t>
      </w:r>
    </w:p>
    <w:p w14:paraId="3D65A792">
      <w:pPr>
        <w:pStyle w:val="5"/>
        <w:pageBreakBefore w:val="0"/>
        <w:kinsoku/>
        <w:wordWrap/>
        <w:overflowPunct/>
        <w:topLinePunct w:val="0"/>
        <w:autoSpaceDE/>
        <w:autoSpaceDN/>
        <w:bidi w:val="0"/>
        <w:spacing w:before="0" w:after="0" w:line="460" w:lineRule="exact"/>
        <w:ind w:firstLine="200"/>
        <w:textAlignment w:val="auto"/>
        <w:rPr>
          <w:rFonts w:hint="eastAsia" w:ascii="宋体" w:hAnsi="宋体" w:eastAsia="宋体"/>
          <w:b w:val="0"/>
          <w:bCs w:val="0"/>
          <w:color w:val="auto"/>
          <w:highlight w:val="none"/>
        </w:rPr>
      </w:pPr>
      <w:r>
        <w:rPr>
          <w:rFonts w:hint="eastAsia" w:ascii="宋体" w:hAnsi="宋体" w:eastAsia="宋体"/>
          <w:b w:val="0"/>
          <w:bCs w:val="0"/>
          <w:color w:val="auto"/>
          <w:highlight w:val="none"/>
        </w:rPr>
        <w:t>28．中标通知书</w:t>
      </w:r>
    </w:p>
    <w:p w14:paraId="6E2EB6CB">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28.l 成交结果质疑期满后，</w:t>
      </w:r>
      <w:r>
        <w:rPr>
          <w:rFonts w:hint="eastAsia" w:ascii="宋体" w:hAnsi="宋体"/>
          <w:bCs/>
          <w:color w:val="auto"/>
          <w:sz w:val="24"/>
          <w:szCs w:val="24"/>
          <w:highlight w:val="none"/>
        </w:rPr>
        <w:t>采购人</w:t>
      </w:r>
      <w:r>
        <w:rPr>
          <w:rFonts w:hint="eastAsia" w:ascii="宋体" w:hAnsi="宋体"/>
          <w:color w:val="auto"/>
          <w:sz w:val="24"/>
          <w:szCs w:val="24"/>
          <w:highlight w:val="none"/>
        </w:rPr>
        <w:t>将向成交供应商发出中标通知书。</w:t>
      </w:r>
    </w:p>
    <w:p w14:paraId="4403035D">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28.2 成交供应商收到中标通知书后，须立即以书面形式回复</w:t>
      </w:r>
      <w:r>
        <w:rPr>
          <w:rFonts w:hint="eastAsia" w:ascii="宋体" w:hAnsi="宋体"/>
          <w:bCs/>
          <w:color w:val="auto"/>
          <w:sz w:val="24"/>
          <w:szCs w:val="24"/>
          <w:highlight w:val="none"/>
        </w:rPr>
        <w:t>采购人</w:t>
      </w:r>
      <w:r>
        <w:rPr>
          <w:rFonts w:hint="eastAsia" w:ascii="宋体" w:hAnsi="宋体"/>
          <w:color w:val="auto"/>
          <w:sz w:val="24"/>
          <w:szCs w:val="24"/>
          <w:highlight w:val="none"/>
        </w:rPr>
        <w:t>，确认中标通知书已收到。</w:t>
      </w:r>
    </w:p>
    <w:p w14:paraId="28C66846">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28.3中标通知书将是合同的一个组成部分。对采购人和成交供应商均具有法律效力。中标通知书发出后，成交供应商放弃中标项目的，应当依法承担法律责任。</w:t>
      </w:r>
    </w:p>
    <w:p w14:paraId="2AE316B3">
      <w:pPr>
        <w:pStyle w:val="200"/>
        <w:pageBreakBefore w:val="0"/>
        <w:tabs>
          <w:tab w:val="clear" w:pos="720"/>
        </w:tabs>
        <w:kinsoku/>
        <w:wordWrap/>
        <w:overflowPunct/>
        <w:topLinePunct w:val="0"/>
        <w:autoSpaceDE/>
        <w:autoSpaceDN/>
        <w:bidi w:val="0"/>
        <w:snapToGrid w:val="0"/>
        <w:spacing w:line="460" w:lineRule="exact"/>
        <w:ind w:left="-1" w:firstLine="321" w:firstLineChars="100"/>
        <w:textAlignment w:val="auto"/>
        <w:rPr>
          <w:rFonts w:hint="eastAsia" w:ascii="宋体" w:hAnsi="宋体" w:eastAsia="宋体"/>
          <w:color w:val="auto"/>
          <w:sz w:val="32"/>
          <w:szCs w:val="32"/>
          <w:highlight w:val="none"/>
        </w:rPr>
      </w:pPr>
      <w:r>
        <w:rPr>
          <w:rFonts w:hint="eastAsia" w:ascii="宋体" w:hAnsi="宋体" w:eastAsia="宋体"/>
          <w:color w:val="auto"/>
          <w:sz w:val="32"/>
          <w:szCs w:val="32"/>
          <w:highlight w:val="none"/>
        </w:rPr>
        <w:t>七、授予合同</w:t>
      </w:r>
    </w:p>
    <w:p w14:paraId="2CF0AC67">
      <w:pPr>
        <w:pStyle w:val="5"/>
        <w:pageBreakBefore w:val="0"/>
        <w:kinsoku/>
        <w:wordWrap/>
        <w:overflowPunct/>
        <w:topLinePunct w:val="0"/>
        <w:autoSpaceDE/>
        <w:autoSpaceDN/>
        <w:bidi w:val="0"/>
        <w:spacing w:before="0" w:after="0" w:line="460" w:lineRule="exact"/>
        <w:ind w:firstLine="420"/>
        <w:textAlignment w:val="auto"/>
        <w:rPr>
          <w:rFonts w:ascii="宋体" w:hAnsi="宋体" w:eastAsia="宋体"/>
          <w:b w:val="0"/>
          <w:bCs w:val="0"/>
          <w:color w:val="auto"/>
          <w:highlight w:val="none"/>
        </w:rPr>
      </w:pPr>
      <w:r>
        <w:rPr>
          <w:rFonts w:hint="eastAsia" w:ascii="宋体" w:hAnsi="宋体" w:eastAsia="宋体"/>
          <w:b w:val="0"/>
          <w:bCs w:val="0"/>
          <w:color w:val="auto"/>
          <w:highlight w:val="none"/>
        </w:rPr>
        <w:t>29．签订合同</w:t>
      </w:r>
    </w:p>
    <w:p w14:paraId="3E2674AF">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29.l成交人必须按中标通知书规定的时间、地点,按照采购文件确定的事项签订政府采购合同，且不得迟于中标通知书发出之日起</w:t>
      </w:r>
      <w:r>
        <w:rPr>
          <w:rFonts w:hint="eastAsia" w:ascii="宋体" w:hAnsi="宋体"/>
          <w:color w:val="auto"/>
          <w:sz w:val="24"/>
          <w:szCs w:val="24"/>
          <w:highlight w:val="none"/>
          <w:lang w:val="en-US" w:eastAsia="zh-CN"/>
        </w:rPr>
        <w:t>三十</w:t>
      </w:r>
      <w:r>
        <w:rPr>
          <w:rFonts w:hint="eastAsia" w:ascii="宋体" w:hAnsi="宋体"/>
          <w:color w:val="auto"/>
          <w:sz w:val="24"/>
          <w:szCs w:val="24"/>
          <w:highlight w:val="none"/>
        </w:rPr>
        <w:t xml:space="preserve">日内。     </w:t>
      </w:r>
    </w:p>
    <w:p w14:paraId="1AD38D8C">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29.2 采购文件、成交人的投标响应文件及采购过程中有关澄清、承诺文件均应作为合同附件。</w:t>
      </w:r>
    </w:p>
    <w:p w14:paraId="4F8D9A82">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29.3在合同签订之前，采购人有权对成交单位的履约能力进行最后审查，审查方式包括询问、调查和实地考察，如发现成交单位提供的材料虚假或对标书所要求说明的情况故意隐瞒或虚报，则采购单位有权取消其签约资格，没收其投标保证金，并在标书有效期内另行评定成交者，或重新采购。</w:t>
      </w:r>
    </w:p>
    <w:p w14:paraId="116E6F7F">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29.4签订合同后，成交人不得将相关服务进行转包。成交人也不得随意采用分包的形式履行合同，否则采购人有权终止合同。转包或分包造成采购人损失的，成交人应承担相应赔偿责任。</w:t>
      </w:r>
    </w:p>
    <w:p w14:paraId="3533CBC9">
      <w:pPr>
        <w:pStyle w:val="5"/>
        <w:pageBreakBefore w:val="0"/>
        <w:kinsoku/>
        <w:wordWrap/>
        <w:overflowPunct/>
        <w:topLinePunct w:val="0"/>
        <w:autoSpaceDE/>
        <w:autoSpaceDN/>
        <w:bidi w:val="0"/>
        <w:spacing w:before="0" w:after="0" w:line="460" w:lineRule="exact"/>
        <w:ind w:firstLine="420" w:firstLineChars="150"/>
        <w:textAlignment w:val="auto"/>
        <w:rPr>
          <w:rFonts w:hint="eastAsia" w:ascii="宋体" w:hAnsi="宋体" w:eastAsia="宋体"/>
          <w:b w:val="0"/>
          <w:bCs w:val="0"/>
          <w:color w:val="auto"/>
          <w:highlight w:val="none"/>
        </w:rPr>
      </w:pPr>
      <w:r>
        <w:rPr>
          <w:rFonts w:hint="eastAsia" w:ascii="宋体" w:hAnsi="宋体" w:eastAsia="宋体"/>
          <w:b w:val="0"/>
          <w:bCs w:val="0"/>
          <w:color w:val="auto"/>
          <w:highlight w:val="none"/>
        </w:rPr>
        <w:t>30．服务的追加、调减</w:t>
      </w:r>
    </w:p>
    <w:p w14:paraId="1FA8A7E6">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30.1政府采购合同履行中，需追加与合同标的相同的服务的，在不改变价格水平、合同及其他条款的前提下，采购人可以与成交人协商签订补充合同。</w:t>
      </w:r>
    </w:p>
    <w:p w14:paraId="7AF93520">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30.2采购结束后，采购人若由于各种客观原因，必须对采购项目所牵涉的服务进行适当的减少时，在双方协商一致的前提下，可以按照采购时的价格水平做相应的调减，并据此签订补充合同。</w:t>
      </w:r>
    </w:p>
    <w:p w14:paraId="1511E024">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30.3项目结束后，采购人若由于各种客观原因，必须对采购项目所牵涉的服务进行适当的添购时，由于须保证原有采购项目一致性或者服务配套的要求，必须符合《政府采购法》的规定并经相关部门批准，可以继续从中标人处按照单一来源采购的方式进行添购，且所牵涉的服务的价格水平不得超过本次公开采购的水平且低于当时的社会平均价。服务的添购，应在本次政府采购合同的基础上，另行签订服务的添购合同。</w:t>
      </w:r>
    </w:p>
    <w:p w14:paraId="0D381940">
      <w:pPr>
        <w:pStyle w:val="5"/>
        <w:pageBreakBefore w:val="0"/>
        <w:kinsoku/>
        <w:wordWrap/>
        <w:overflowPunct/>
        <w:topLinePunct w:val="0"/>
        <w:autoSpaceDE/>
        <w:autoSpaceDN/>
        <w:bidi w:val="0"/>
        <w:spacing w:before="145" w:beforeLines="50" w:after="145" w:afterLines="50" w:line="460" w:lineRule="exact"/>
        <w:ind w:firstLine="420"/>
        <w:textAlignment w:val="auto"/>
        <w:rPr>
          <w:rFonts w:ascii="宋体" w:hAnsi="宋体" w:eastAsia="宋体" w:cs="宋体"/>
          <w:b w:val="0"/>
          <w:bCs w:val="0"/>
          <w:color w:val="auto"/>
          <w:highlight w:val="none"/>
        </w:rPr>
      </w:pPr>
      <w:r>
        <w:rPr>
          <w:rFonts w:hint="eastAsia" w:ascii="宋体" w:hAnsi="宋体" w:eastAsia="宋体"/>
          <w:b w:val="0"/>
          <w:bCs w:val="0"/>
          <w:color w:val="auto"/>
          <w:highlight w:val="none"/>
        </w:rPr>
        <w:t>31．</w:t>
      </w:r>
      <w:r>
        <w:rPr>
          <w:rFonts w:hint="eastAsia" w:ascii="宋体" w:hAnsi="宋体" w:eastAsia="宋体" w:cs="宋体"/>
          <w:b w:val="0"/>
          <w:bCs w:val="0"/>
          <w:color w:val="auto"/>
          <w:highlight w:val="none"/>
        </w:rPr>
        <w:t>政府采购履约保证资金、合同信用融资扶持政策</w:t>
      </w:r>
    </w:p>
    <w:p w14:paraId="5CF6A18C">
      <w:pPr>
        <w:pageBreakBefore w:val="0"/>
        <w:kinsoku/>
        <w:wordWrap/>
        <w:overflowPunct/>
        <w:topLinePunct w:val="0"/>
        <w:autoSpaceDE/>
        <w:autoSpaceDN/>
        <w:bidi w:val="0"/>
        <w:spacing w:line="460" w:lineRule="exact"/>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rPr>
        <w:t>.1</w:t>
      </w:r>
      <w:r>
        <w:rPr>
          <w:rFonts w:hint="eastAsia" w:ascii="宋体" w:hAnsi="宋体" w:cs="宋体"/>
          <w:b w:val="0"/>
          <w:bCs w:val="0"/>
          <w:color w:val="auto"/>
          <w:sz w:val="24"/>
          <w:szCs w:val="24"/>
          <w:highlight w:val="none"/>
          <w:lang w:eastAsia="zh-CN"/>
        </w:rPr>
        <w:t>成交供应商</w:t>
      </w:r>
      <w:r>
        <w:rPr>
          <w:rFonts w:hint="eastAsia" w:ascii="宋体" w:hAnsi="宋体" w:cs="宋体"/>
          <w:b w:val="0"/>
          <w:bCs w:val="0"/>
          <w:color w:val="auto"/>
          <w:sz w:val="24"/>
          <w:szCs w:val="24"/>
          <w:highlight w:val="none"/>
        </w:rPr>
        <w:t>如需获得履约保证金支持，可在南通市政府采购网直接线上办理线上履约保证保险申请，详情请见南通市政府采购网首页 “易企服”综合服务平台-金融产品全周期-履约保证保险专栏。</w:t>
      </w:r>
    </w:p>
    <w:p w14:paraId="294AFB4D">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rPr>
        <w:t>.2根据《关于转发江苏省财政厅、中国人民银行南京分行&lt;关于深入推进政府采购线上合同信用融资工作的通知&gt;的通知》（通财购〔2021〕41号），对政府采购</w:t>
      </w:r>
      <w:r>
        <w:rPr>
          <w:rFonts w:hint="eastAsia" w:ascii="宋体" w:hAnsi="宋体" w:cs="宋体"/>
          <w:b w:val="0"/>
          <w:bCs w:val="0"/>
          <w:color w:val="auto"/>
          <w:sz w:val="24"/>
          <w:szCs w:val="24"/>
          <w:highlight w:val="none"/>
          <w:lang w:eastAsia="zh-CN"/>
        </w:rPr>
        <w:t>成交供应商</w:t>
      </w:r>
      <w:r>
        <w:rPr>
          <w:rFonts w:hint="eastAsia" w:ascii="宋体" w:hAnsi="宋体" w:cs="宋体"/>
          <w:b w:val="0"/>
          <w:bCs w:val="0"/>
          <w:color w:val="auto"/>
          <w:sz w:val="24"/>
          <w:szCs w:val="24"/>
          <w:highlight w:val="none"/>
        </w:rPr>
        <w:t>提出“政采贷”融资申请的，采购人应当依法按时在“苏采云”系统中录入并公开政府采购合同信息，勾选“融资贷款”选项，并在合同签订、验收付款、账号维护等环节提供必要便利，持续降低参与政府采购的中小企业融资成本。</w:t>
      </w:r>
      <w:r>
        <w:rPr>
          <w:rFonts w:hint="eastAsia" w:ascii="宋体" w:hAnsi="宋体" w:cs="宋体"/>
          <w:b w:val="0"/>
          <w:bCs w:val="0"/>
          <w:color w:val="auto"/>
          <w:sz w:val="24"/>
          <w:szCs w:val="24"/>
          <w:highlight w:val="none"/>
          <w:lang w:eastAsia="zh-CN"/>
        </w:rPr>
        <w:t>成交供应商</w:t>
      </w:r>
      <w:r>
        <w:rPr>
          <w:rFonts w:hint="eastAsia" w:ascii="宋体" w:hAnsi="宋体" w:cs="宋体"/>
          <w:b w:val="0"/>
          <w:bCs w:val="0"/>
          <w:color w:val="auto"/>
          <w:sz w:val="24"/>
          <w:szCs w:val="24"/>
          <w:highlight w:val="none"/>
        </w:rPr>
        <w:t>如需获得合同信用融资支持，可凭政府采购合同办理“政采贷”融资贷款，详情请见南通市政府采购网 “易企服”综合服务平台-金融产品全周期-贷款产品专栏。</w:t>
      </w:r>
      <w:r>
        <w:rPr>
          <w:rFonts w:hint="eastAsia" w:ascii="宋体" w:hAnsi="宋体"/>
          <w:color w:val="auto"/>
          <w:sz w:val="24"/>
          <w:szCs w:val="24"/>
          <w:highlight w:val="none"/>
        </w:rPr>
        <w:t xml:space="preserve"> </w:t>
      </w:r>
    </w:p>
    <w:p w14:paraId="1493B488">
      <w:pPr>
        <w:pageBreakBefore w:val="0"/>
        <w:kinsoku/>
        <w:wordWrap/>
        <w:overflowPunct/>
        <w:topLinePunct w:val="0"/>
        <w:autoSpaceDE/>
        <w:autoSpaceDN/>
        <w:bidi w:val="0"/>
        <w:spacing w:line="460" w:lineRule="exact"/>
        <w:ind w:firstLine="482" w:firstLineChars="200"/>
        <w:textAlignment w:val="auto"/>
        <w:rPr>
          <w:rFonts w:ascii="宋体" w:hAnsi="宋体"/>
          <w:b/>
          <w:color w:val="auto"/>
          <w:sz w:val="24"/>
          <w:szCs w:val="24"/>
          <w:highlight w:val="none"/>
        </w:rPr>
      </w:pPr>
      <w:r>
        <w:rPr>
          <w:rFonts w:hint="eastAsia" w:ascii="宋体" w:hAnsi="宋体"/>
          <w:b/>
          <w:color w:val="auto"/>
          <w:sz w:val="24"/>
          <w:szCs w:val="24"/>
          <w:highlight w:val="none"/>
        </w:rPr>
        <w:t>八、其他说明</w:t>
      </w:r>
    </w:p>
    <w:p w14:paraId="68E4F25D">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投标人如对本采购文件中的采购需求（包括详细方案、技术参数、技术需求和服务要求、供应商资格条件等）有疑问或不明之处，可与采购人联系。采购人对采购项目的采购需求有解释权。在采购过程中如出现投标人针对本项目采购需求提出质疑、疑问，由采购人负责并书面答复。</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eastAsia="zh-CN"/>
        </w:rPr>
        <w:t>如东县机关事务服务中心</w:t>
      </w: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丁志东</w:t>
      </w:r>
      <w:r>
        <w:rPr>
          <w:rFonts w:hint="eastAsia" w:ascii="宋体" w:hAnsi="宋体" w:cs="宋体"/>
          <w:color w:val="auto"/>
          <w:sz w:val="24"/>
          <w:szCs w:val="24"/>
          <w:highlight w:val="none"/>
        </w:rPr>
        <w:t>， 联系电话：15996682005</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p>
    <w:p w14:paraId="2F94DA81">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rPr>
        <w:t>2、如投标人对本项目有投诉，可与如东县财政局政府采购管理科联系，联系电话：0513-84112918</w:t>
      </w:r>
      <w:r>
        <w:rPr>
          <w:rFonts w:hint="eastAsia" w:ascii="宋体" w:hAnsi="宋体"/>
          <w:color w:val="auto"/>
          <w:sz w:val="24"/>
          <w:szCs w:val="24"/>
          <w:highlight w:val="none"/>
          <w:lang w:eastAsia="zh-CN"/>
        </w:rPr>
        <w:t>。</w:t>
      </w:r>
    </w:p>
    <w:p w14:paraId="2B6F743A">
      <w:pPr>
        <w:pageBreakBefore w:val="0"/>
        <w:kinsoku/>
        <w:wordWrap/>
        <w:overflowPunct/>
        <w:topLinePunct w:val="0"/>
        <w:autoSpaceDE/>
        <w:autoSpaceDN/>
        <w:bidi w:val="0"/>
        <w:spacing w:line="460" w:lineRule="exact"/>
        <w:ind w:left="0" w:leftChars="0" w:firstLine="0" w:firstLineChars="0"/>
        <w:textAlignment w:val="auto"/>
        <w:rPr>
          <w:rFonts w:hint="eastAsia" w:ascii="宋体" w:hAnsi="宋体" w:eastAsia="宋体"/>
          <w:color w:val="auto"/>
          <w:sz w:val="24"/>
          <w:szCs w:val="24"/>
          <w:highlight w:val="none"/>
          <w:lang w:eastAsia="zh-CN"/>
        </w:rPr>
        <w:sectPr>
          <w:pgSz w:w="11907" w:h="16838"/>
          <w:pgMar w:top="1418" w:right="1129" w:bottom="1418" w:left="1278" w:header="851" w:footer="992" w:gutter="0"/>
          <w:pgNumType w:fmt="decimal"/>
          <w:cols w:space="720" w:num="1"/>
          <w:titlePg/>
          <w:docGrid w:linePitch="318" w:charSpace="0"/>
        </w:sectPr>
      </w:pPr>
    </w:p>
    <w:bookmarkEnd w:id="43"/>
    <w:bookmarkEnd w:id="44"/>
    <w:bookmarkEnd w:id="45"/>
    <w:bookmarkEnd w:id="46"/>
    <w:bookmarkEnd w:id="47"/>
    <w:bookmarkEnd w:id="48"/>
    <w:bookmarkEnd w:id="49"/>
    <w:p w14:paraId="18F95660">
      <w:pPr>
        <w:pStyle w:val="2"/>
        <w:keepNext w:val="0"/>
        <w:rPr>
          <w:rFonts w:ascii="宋体" w:hAnsi="宋体" w:cs="宋体"/>
          <w:color w:val="auto"/>
          <w:highlight w:val="none"/>
        </w:rPr>
      </w:pPr>
      <w:bookmarkStart w:id="66" w:name="_Toc109381854"/>
      <w:bookmarkStart w:id="67" w:name="_Toc124108547"/>
      <w:bookmarkStart w:id="68" w:name="_Toc120614282"/>
      <w:bookmarkStart w:id="69" w:name="_Toc49090576"/>
      <w:bookmarkStart w:id="70" w:name="_Toc26554094"/>
      <w:r>
        <w:rPr>
          <w:rFonts w:hint="eastAsia" w:ascii="宋体" w:hAnsi="宋体" w:cs="宋体"/>
          <w:color w:val="auto"/>
          <w:highlight w:val="none"/>
        </w:rPr>
        <w:t xml:space="preserve">第三章 </w:t>
      </w:r>
      <w:bookmarkEnd w:id="66"/>
      <w:bookmarkEnd w:id="67"/>
      <w:bookmarkStart w:id="71" w:name="_Toc124108548"/>
      <w:bookmarkStart w:id="72" w:name="_Toc109381855"/>
      <w:r>
        <w:rPr>
          <w:rFonts w:hint="eastAsia" w:ascii="宋体" w:hAnsi="宋体" w:cs="宋体"/>
          <w:color w:val="auto"/>
          <w:highlight w:val="none"/>
        </w:rPr>
        <w:t xml:space="preserve">项目需求 </w:t>
      </w:r>
    </w:p>
    <w:p w14:paraId="30737027">
      <w:pPr>
        <w:adjustRightInd w:val="0"/>
        <w:snapToGrid w:val="0"/>
        <w:ind w:firstLine="723" w:firstLineChars="300"/>
        <w:contextualSpacing/>
        <w:rPr>
          <w:rFonts w:ascii="宋体" w:hAnsi="宋体" w:cs="宋体"/>
          <w:b/>
          <w:color w:val="auto"/>
          <w:highlight w:val="none"/>
          <w:lang w:val="zh-CN"/>
        </w:rPr>
      </w:pPr>
      <w:r>
        <w:rPr>
          <w:rFonts w:hint="eastAsia" w:ascii="宋体" w:hAnsi="宋体" w:cs="宋体"/>
          <w:b/>
          <w:color w:val="auto"/>
          <w:highlight w:val="none"/>
          <w:lang w:val="zh-CN"/>
        </w:rPr>
        <w:t>请供应商在制作响应文件时仔细研究项目需求说明。供应商不能简单照搬照抄采购单位项目需求说明中的技术、商务要求，必须作实事求是的响应。如照搬照抄项目需求说明中的技术、商务要求的，成交后供应商在同采购人签订合同和履约环节中不得提出异议，一切后果和损失由成交供应商承担。</w:t>
      </w:r>
    </w:p>
    <w:p w14:paraId="66ECBFD2">
      <w:pPr>
        <w:keepNext w:val="0"/>
        <w:keepLines w:val="0"/>
        <w:pageBreakBefore w:val="0"/>
        <w:widowControl w:val="0"/>
        <w:kinsoku/>
        <w:wordWrap/>
        <w:overflowPunct/>
        <w:topLinePunct w:val="0"/>
        <w:autoSpaceDE/>
        <w:autoSpaceDN/>
        <w:bidi w:val="0"/>
        <w:adjustRightInd w:val="0"/>
        <w:snapToGrid w:val="0"/>
        <w:spacing w:line="360" w:lineRule="auto"/>
        <w:ind w:firstLine="236" w:firstLineChars="98"/>
        <w:textAlignment w:val="auto"/>
        <w:rPr>
          <w:rFonts w:hint="eastAsia" w:ascii="新宋体" w:hAnsi="新宋体" w:eastAsia="新宋体"/>
          <w:b/>
          <w:color w:val="auto"/>
          <w:sz w:val="24"/>
          <w:szCs w:val="24"/>
          <w:highlight w:val="none"/>
        </w:rPr>
      </w:pPr>
      <w:r>
        <w:rPr>
          <w:rFonts w:hint="eastAsia" w:ascii="新宋体" w:hAnsi="新宋体" w:eastAsia="新宋体"/>
          <w:b/>
          <w:color w:val="auto"/>
          <w:sz w:val="24"/>
          <w:szCs w:val="24"/>
          <w:highlight w:val="none"/>
        </w:rPr>
        <w:t>一</w:t>
      </w:r>
      <w:r>
        <w:rPr>
          <w:rFonts w:hint="eastAsia" w:ascii="新宋体" w:hAnsi="新宋体" w:eastAsia="新宋体"/>
          <w:color w:val="auto"/>
          <w:sz w:val="24"/>
          <w:szCs w:val="24"/>
          <w:highlight w:val="none"/>
        </w:rPr>
        <w:t>、</w:t>
      </w:r>
      <w:r>
        <w:rPr>
          <w:rFonts w:hint="eastAsia" w:ascii="新宋体" w:hAnsi="新宋体" w:eastAsia="新宋体"/>
          <w:b/>
          <w:color w:val="auto"/>
          <w:sz w:val="24"/>
          <w:szCs w:val="24"/>
          <w:highlight w:val="none"/>
        </w:rPr>
        <w:t>采购项目内容:</w:t>
      </w:r>
    </w:p>
    <w:p w14:paraId="399BC1BB">
      <w:pPr>
        <w:keepNext w:val="0"/>
        <w:keepLines w:val="0"/>
        <w:pageBreakBefore w:val="0"/>
        <w:widowControl w:val="0"/>
        <w:kinsoku/>
        <w:wordWrap/>
        <w:overflowPunct/>
        <w:topLinePunct w:val="0"/>
        <w:autoSpaceDE/>
        <w:autoSpaceDN/>
        <w:bidi w:val="0"/>
        <w:adjustRightInd w:val="0"/>
        <w:snapToGrid w:val="0"/>
        <w:spacing w:line="360" w:lineRule="auto"/>
        <w:ind w:firstLine="235" w:firstLineChars="98"/>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1、采购人：</w:t>
      </w:r>
      <w:r>
        <w:rPr>
          <w:rFonts w:hint="eastAsia" w:ascii="宋体" w:hAnsi="宋体"/>
          <w:color w:val="auto"/>
          <w:sz w:val="24"/>
          <w:szCs w:val="24"/>
          <w:highlight w:val="none"/>
          <w:lang w:eastAsia="zh-CN"/>
        </w:rPr>
        <w:t>如东县机关事务服务中心</w:t>
      </w:r>
    </w:p>
    <w:p w14:paraId="664266CD">
      <w:pPr>
        <w:keepNext w:val="0"/>
        <w:keepLines w:val="0"/>
        <w:pageBreakBefore w:val="0"/>
        <w:widowControl w:val="0"/>
        <w:kinsoku/>
        <w:wordWrap/>
        <w:overflowPunct/>
        <w:topLinePunct w:val="0"/>
        <w:autoSpaceDE/>
        <w:autoSpaceDN/>
        <w:bidi w:val="0"/>
        <w:adjustRightInd w:val="0"/>
        <w:snapToGrid w:val="0"/>
        <w:spacing w:line="360" w:lineRule="auto"/>
        <w:ind w:firstLine="235" w:firstLineChars="98"/>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2、项目名称：</w:t>
      </w:r>
      <w:r>
        <w:rPr>
          <w:rFonts w:hint="eastAsia" w:ascii="宋体" w:hAnsi="宋体" w:cs="宋体"/>
          <w:color w:val="auto"/>
          <w:kern w:val="2"/>
          <w:sz w:val="24"/>
          <w:szCs w:val="24"/>
          <w:highlight w:val="none"/>
          <w:lang w:val="en-US" w:eastAsia="zh-CN" w:bidi="ar-SA"/>
        </w:rPr>
        <w:t>如东县政务中心食堂厨房设备采购及安装项目</w:t>
      </w:r>
    </w:p>
    <w:p w14:paraId="2CBAADD0">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firstLine="235" w:firstLineChars="98"/>
        <w:textAlignment w:val="auto"/>
        <w:rPr>
          <w:rFonts w:hint="eastAsia" w:ascii="宋体" w:hAnsi="宋体" w:cs="宋体"/>
          <w:b/>
          <w:color w:val="auto"/>
          <w:sz w:val="24"/>
          <w:szCs w:val="24"/>
          <w:highlight w:val="none"/>
          <w:lang w:val="en-US" w:eastAsia="zh-CN"/>
        </w:rPr>
      </w:pP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清单</w:t>
      </w:r>
      <w:r>
        <w:rPr>
          <w:rFonts w:hint="eastAsia" w:ascii="宋体" w:hAnsi="宋体"/>
          <w:color w:val="auto"/>
          <w:sz w:val="24"/>
          <w:szCs w:val="24"/>
          <w:highlight w:val="none"/>
          <w:lang w:val="en-US" w:eastAsia="zh-CN"/>
        </w:rPr>
        <w:t xml:space="preserve"> </w:t>
      </w:r>
      <w:r>
        <w:rPr>
          <w:rFonts w:hint="eastAsia" w:ascii="宋体" w:hAnsi="宋体" w:cs="宋体"/>
          <w:b/>
          <w:color w:val="auto"/>
          <w:sz w:val="24"/>
          <w:szCs w:val="24"/>
          <w:highlight w:val="none"/>
          <w:lang w:val="en-US" w:eastAsia="zh-CN"/>
        </w:rPr>
        <w:t>:</w:t>
      </w:r>
    </w:p>
    <w:tbl>
      <w:tblPr>
        <w:tblStyle w:val="50"/>
        <w:tblW w:w="1353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17"/>
        <w:gridCol w:w="1496"/>
        <w:gridCol w:w="7650"/>
        <w:gridCol w:w="1362"/>
        <w:gridCol w:w="906"/>
        <w:gridCol w:w="906"/>
      </w:tblGrid>
      <w:tr w14:paraId="7496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8" w:hRule="atLeast"/>
        </w:trPr>
        <w:tc>
          <w:tcPr>
            <w:tcW w:w="1217" w:type="dxa"/>
            <w:shd w:val="clear" w:color="auto" w:fill="FFFFFF"/>
            <w:vAlign w:val="center"/>
          </w:tcPr>
          <w:p w14:paraId="5F07F4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名称</w:t>
            </w:r>
          </w:p>
        </w:tc>
        <w:tc>
          <w:tcPr>
            <w:tcW w:w="1496" w:type="dxa"/>
            <w:shd w:val="clear" w:color="auto" w:fill="FFFFFF"/>
            <w:vAlign w:val="center"/>
          </w:tcPr>
          <w:p w14:paraId="6FE0AD5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w:t>
            </w:r>
          </w:p>
        </w:tc>
        <w:tc>
          <w:tcPr>
            <w:tcW w:w="7650" w:type="dxa"/>
            <w:shd w:val="clear" w:color="auto" w:fill="FFFFFF"/>
            <w:vAlign w:val="center"/>
          </w:tcPr>
          <w:p w14:paraId="7E9F7E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参数</w:t>
            </w:r>
          </w:p>
        </w:tc>
        <w:tc>
          <w:tcPr>
            <w:tcW w:w="1362" w:type="dxa"/>
            <w:shd w:val="clear" w:color="auto" w:fill="FFFFFF"/>
            <w:vAlign w:val="center"/>
          </w:tcPr>
          <w:p w14:paraId="63CA2A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图样</w:t>
            </w:r>
          </w:p>
        </w:tc>
        <w:tc>
          <w:tcPr>
            <w:tcW w:w="906" w:type="dxa"/>
            <w:shd w:val="clear" w:color="auto" w:fill="FFFFFF"/>
            <w:vAlign w:val="center"/>
          </w:tcPr>
          <w:p w14:paraId="1F2298A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906" w:type="dxa"/>
            <w:shd w:val="clear" w:color="auto" w:fill="FFFFFF"/>
            <w:vAlign w:val="center"/>
          </w:tcPr>
          <w:p w14:paraId="235D820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r>
      <w:tr w14:paraId="3AAE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0" w:hRule="atLeast"/>
        </w:trPr>
        <w:tc>
          <w:tcPr>
            <w:tcW w:w="1217" w:type="dxa"/>
            <w:shd w:val="clear" w:color="auto" w:fill="FFFFFF"/>
            <w:vAlign w:val="center"/>
          </w:tcPr>
          <w:p w14:paraId="1721335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不锈钢地架</w:t>
            </w:r>
          </w:p>
        </w:tc>
        <w:tc>
          <w:tcPr>
            <w:tcW w:w="1496" w:type="dxa"/>
            <w:shd w:val="clear" w:color="auto" w:fill="FFFFFF"/>
            <w:vAlign w:val="center"/>
          </w:tcPr>
          <w:p w14:paraId="49F4013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1200*500*250</w:t>
            </w:r>
          </w:p>
        </w:tc>
        <w:tc>
          <w:tcPr>
            <w:tcW w:w="7650" w:type="dxa"/>
            <w:shd w:val="clear" w:color="auto" w:fill="FFFFFF"/>
            <w:vAlign w:val="center"/>
          </w:tcPr>
          <w:p w14:paraId="413DBAF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主材为SUS304不锈钢管，四周边框采用38*25*1.0mm不锈钢管制作，中间排挡采用25*13*0.7mm不锈钢管制作，档距为50mm，均布；四根脚管为25*25*1.0mm不锈钢管，下垫橡胶垫。</w:t>
            </w:r>
          </w:p>
        </w:tc>
        <w:tc>
          <w:tcPr>
            <w:tcW w:w="1362" w:type="dxa"/>
            <w:shd w:val="clear" w:color="auto" w:fill="FFFFFF"/>
            <w:vAlign w:val="center"/>
          </w:tcPr>
          <w:p w14:paraId="7C4FAB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143510</wp:posOffset>
                  </wp:positionH>
                  <wp:positionV relativeFrom="paragraph">
                    <wp:posOffset>129540</wp:posOffset>
                  </wp:positionV>
                  <wp:extent cx="484505" cy="457200"/>
                  <wp:effectExtent l="0" t="0" r="3175" b="0"/>
                  <wp:wrapNone/>
                  <wp:docPr id="8" name="Picture_35"/>
                  <wp:cNvGraphicFramePr/>
                  <a:graphic xmlns:a="http://schemas.openxmlformats.org/drawingml/2006/main">
                    <a:graphicData uri="http://schemas.openxmlformats.org/drawingml/2006/picture">
                      <pic:pic xmlns:pic="http://schemas.openxmlformats.org/drawingml/2006/picture">
                        <pic:nvPicPr>
                          <pic:cNvPr id="8" name="Picture_35"/>
                          <pic:cNvPicPr/>
                        </pic:nvPicPr>
                        <pic:blipFill>
                          <a:blip r:embed="rId21"/>
                          <a:stretch>
                            <a:fillRect/>
                          </a:stretch>
                        </pic:blipFill>
                        <pic:spPr>
                          <a:xfrm>
                            <a:off x="0" y="0"/>
                            <a:ext cx="484505" cy="457200"/>
                          </a:xfrm>
                          <a:prstGeom prst="rect">
                            <a:avLst/>
                          </a:prstGeom>
                          <a:noFill/>
                          <a:ln>
                            <a:noFill/>
                          </a:ln>
                        </pic:spPr>
                      </pic:pic>
                    </a:graphicData>
                  </a:graphic>
                </wp:anchor>
              </w:drawing>
            </w:r>
          </w:p>
        </w:tc>
        <w:tc>
          <w:tcPr>
            <w:tcW w:w="906" w:type="dxa"/>
            <w:shd w:val="clear" w:color="auto" w:fill="FFFFFF"/>
            <w:vAlign w:val="center"/>
          </w:tcPr>
          <w:p w14:paraId="0F276A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c>
          <w:tcPr>
            <w:tcW w:w="906" w:type="dxa"/>
            <w:shd w:val="clear" w:color="auto" w:fill="FFFFFF"/>
            <w:vAlign w:val="center"/>
          </w:tcPr>
          <w:p w14:paraId="19DE836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r>
      <w:tr w14:paraId="20BD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1217" w:type="dxa"/>
            <w:shd w:val="clear" w:color="auto" w:fill="FFFFFF"/>
            <w:vAlign w:val="center"/>
          </w:tcPr>
          <w:p w14:paraId="3954751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四层货架</w:t>
            </w:r>
          </w:p>
        </w:tc>
        <w:tc>
          <w:tcPr>
            <w:tcW w:w="1496" w:type="dxa"/>
            <w:shd w:val="clear" w:color="auto" w:fill="FFFFFF"/>
            <w:vAlign w:val="center"/>
          </w:tcPr>
          <w:p w14:paraId="4EA5D10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1200*500*1800</w:t>
            </w:r>
          </w:p>
        </w:tc>
        <w:tc>
          <w:tcPr>
            <w:tcW w:w="7650" w:type="dxa"/>
            <w:shd w:val="clear" w:color="auto" w:fill="FFFFFF"/>
            <w:vAlign w:val="center"/>
          </w:tcPr>
          <w:p w14:paraId="770D68B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val="0"/>
                <w:iCs w:val="0"/>
                <w:color w:val="0000FF"/>
                <w:kern w:val="0"/>
                <w:sz w:val="22"/>
                <w:szCs w:val="22"/>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采用SUS304#不锈钢拉丝板，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1、层板全部为1.2mm厚不锈钢结构，满足卫生和清洁要求；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2、货架体与货架层板的连接点均焊接抛光；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3、货架层板底部采用加强筋，厚度为1.0mm；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4、货架体采用φ50㎜×1.2mm厚不锈钢圆管；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5、配不锈钢可调节子弹脚。</w:t>
            </w:r>
          </w:p>
          <w:p w14:paraId="0116EA7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p>
        </w:tc>
        <w:tc>
          <w:tcPr>
            <w:tcW w:w="1362" w:type="dxa"/>
            <w:shd w:val="clear" w:color="auto" w:fill="FFFFFF"/>
            <w:vAlign w:val="center"/>
          </w:tcPr>
          <w:p w14:paraId="06C7A7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shd w:val="clear" w:fill="FFFFFF"/>
                <w:lang w:val="en-US" w:eastAsia="zh-CN" w:bidi="ar"/>
              </w:rPr>
              <w:drawing>
                <wp:anchor distT="0" distB="0" distL="114300" distR="114300" simplePos="0" relativeHeight="251659264" behindDoc="0" locked="0" layoutInCell="1" allowOverlap="1">
                  <wp:simplePos x="0" y="0"/>
                  <wp:positionH relativeFrom="column">
                    <wp:posOffset>258445</wp:posOffset>
                  </wp:positionH>
                  <wp:positionV relativeFrom="paragraph">
                    <wp:posOffset>365760</wp:posOffset>
                  </wp:positionV>
                  <wp:extent cx="388620" cy="918845"/>
                  <wp:effectExtent l="0" t="0" r="7620" b="10795"/>
                  <wp:wrapNone/>
                  <wp:docPr id="5" name="图片_35"/>
                  <wp:cNvGraphicFramePr/>
                  <a:graphic xmlns:a="http://schemas.openxmlformats.org/drawingml/2006/main">
                    <a:graphicData uri="http://schemas.openxmlformats.org/drawingml/2006/picture">
                      <pic:pic xmlns:pic="http://schemas.openxmlformats.org/drawingml/2006/picture">
                        <pic:nvPicPr>
                          <pic:cNvPr id="5" name="图片_35"/>
                          <pic:cNvPicPr/>
                        </pic:nvPicPr>
                        <pic:blipFill>
                          <a:blip r:embed="rId22"/>
                          <a:stretch>
                            <a:fillRect/>
                          </a:stretch>
                        </pic:blipFill>
                        <pic:spPr>
                          <a:xfrm>
                            <a:off x="0" y="0"/>
                            <a:ext cx="388620" cy="918845"/>
                          </a:xfrm>
                          <a:prstGeom prst="rect">
                            <a:avLst/>
                          </a:prstGeom>
                          <a:noFill/>
                          <a:ln>
                            <a:noFill/>
                          </a:ln>
                        </pic:spPr>
                      </pic:pic>
                    </a:graphicData>
                  </a:graphic>
                </wp:anchor>
              </w:drawing>
            </w:r>
          </w:p>
        </w:tc>
        <w:tc>
          <w:tcPr>
            <w:tcW w:w="906" w:type="dxa"/>
            <w:shd w:val="clear" w:color="auto" w:fill="FFFFFF"/>
            <w:vAlign w:val="center"/>
          </w:tcPr>
          <w:p w14:paraId="7A631F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c>
          <w:tcPr>
            <w:tcW w:w="906" w:type="dxa"/>
            <w:shd w:val="clear" w:color="auto" w:fill="FFFFFF"/>
            <w:vAlign w:val="center"/>
          </w:tcPr>
          <w:p w14:paraId="73FE7C6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r>
      <w:tr w14:paraId="1220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1217" w:type="dxa"/>
            <w:shd w:val="clear" w:color="auto" w:fill="FFFFFF"/>
            <w:vAlign w:val="center"/>
          </w:tcPr>
          <w:p w14:paraId="669BE07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不锈钢双眼蔬菜池</w:t>
            </w:r>
          </w:p>
        </w:tc>
        <w:tc>
          <w:tcPr>
            <w:tcW w:w="1496" w:type="dxa"/>
            <w:shd w:val="clear" w:color="auto" w:fill="FFFFFF"/>
            <w:vAlign w:val="center"/>
          </w:tcPr>
          <w:p w14:paraId="450DE01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1500*750*800</w:t>
            </w:r>
          </w:p>
        </w:tc>
        <w:tc>
          <w:tcPr>
            <w:tcW w:w="7650" w:type="dxa"/>
            <w:shd w:val="clear" w:color="auto" w:fill="FFFFFF"/>
            <w:vAlign w:val="center"/>
          </w:tcPr>
          <w:p w14:paraId="6A5041D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材采用SUS304不锈钢板，台面板、水斗采用1.2mm不锈钢板制作，水斗采用放样折边焊接而成，深度350mm，沥水器用防臭沥水器。四根脚管采用φ38*1.2mm不锈钢管，脚用不锈钢可调整脚，水池带后背，后背高为150mm，宽为50mm。</w:t>
            </w:r>
          </w:p>
        </w:tc>
        <w:tc>
          <w:tcPr>
            <w:tcW w:w="1362" w:type="dxa"/>
            <w:shd w:val="clear" w:color="auto" w:fill="FFFFFF"/>
            <w:vAlign w:val="center"/>
          </w:tcPr>
          <w:p w14:paraId="3583A09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2540</wp:posOffset>
                  </wp:positionH>
                  <wp:positionV relativeFrom="paragraph">
                    <wp:posOffset>95250</wp:posOffset>
                  </wp:positionV>
                  <wp:extent cx="766445" cy="590550"/>
                  <wp:effectExtent l="0" t="0" r="10795" b="3810"/>
                  <wp:wrapNone/>
                  <wp:docPr id="6" name="Picture_4"/>
                  <wp:cNvGraphicFramePr/>
                  <a:graphic xmlns:a="http://schemas.openxmlformats.org/drawingml/2006/main">
                    <a:graphicData uri="http://schemas.openxmlformats.org/drawingml/2006/picture">
                      <pic:pic xmlns:pic="http://schemas.openxmlformats.org/drawingml/2006/picture">
                        <pic:nvPicPr>
                          <pic:cNvPr id="6" name="Picture_4"/>
                          <pic:cNvPicPr/>
                        </pic:nvPicPr>
                        <pic:blipFill>
                          <a:blip r:embed="rId23"/>
                          <a:stretch>
                            <a:fillRect/>
                          </a:stretch>
                        </pic:blipFill>
                        <pic:spPr>
                          <a:xfrm>
                            <a:off x="0" y="0"/>
                            <a:ext cx="766445" cy="590550"/>
                          </a:xfrm>
                          <a:prstGeom prst="rect">
                            <a:avLst/>
                          </a:prstGeom>
                          <a:noFill/>
                          <a:ln>
                            <a:noFill/>
                          </a:ln>
                        </pic:spPr>
                      </pic:pic>
                    </a:graphicData>
                  </a:graphic>
                </wp:anchor>
              </w:drawing>
            </w:r>
          </w:p>
        </w:tc>
        <w:tc>
          <w:tcPr>
            <w:tcW w:w="906" w:type="dxa"/>
            <w:shd w:val="clear" w:color="auto" w:fill="FFFFFF"/>
            <w:vAlign w:val="center"/>
          </w:tcPr>
          <w:p w14:paraId="1EBFA8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06" w:type="dxa"/>
            <w:shd w:val="clear" w:color="auto" w:fill="FFFFFF"/>
            <w:vAlign w:val="center"/>
          </w:tcPr>
          <w:p w14:paraId="4BFDC58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3538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0" w:hRule="atLeast"/>
        </w:trPr>
        <w:tc>
          <w:tcPr>
            <w:tcW w:w="1217" w:type="dxa"/>
            <w:shd w:val="clear" w:color="auto" w:fill="FFFFFF"/>
            <w:vAlign w:val="center"/>
          </w:tcPr>
          <w:p w14:paraId="58E398A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平台水池</w:t>
            </w:r>
          </w:p>
        </w:tc>
        <w:tc>
          <w:tcPr>
            <w:tcW w:w="1496" w:type="dxa"/>
            <w:shd w:val="clear" w:color="auto" w:fill="FFFFFF"/>
            <w:vAlign w:val="center"/>
          </w:tcPr>
          <w:p w14:paraId="549D22C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1200*600*800</w:t>
            </w:r>
          </w:p>
        </w:tc>
        <w:tc>
          <w:tcPr>
            <w:tcW w:w="7650" w:type="dxa"/>
            <w:shd w:val="clear" w:color="auto" w:fill="FFFFFF"/>
            <w:vAlign w:val="center"/>
          </w:tcPr>
          <w:p w14:paraId="18008D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主材采用SUS304不锈钢板， 右平台，台面板、水斗采用1.2mm不锈钢板制作，水斗采用放样折边焊接而成，深度300，沥水器用防臭沥水器。四根脚管采用φ38*1.2mm不锈钢管，脚用不锈钢可调整脚，水池带后背，后背高为150mm，宽为50mm。煮面过水用</w:t>
            </w:r>
          </w:p>
        </w:tc>
        <w:tc>
          <w:tcPr>
            <w:tcW w:w="1362" w:type="dxa"/>
            <w:shd w:val="clear" w:color="auto" w:fill="FFFFFF"/>
            <w:vAlign w:val="center"/>
          </w:tcPr>
          <w:p w14:paraId="0C66B6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-39370</wp:posOffset>
                  </wp:positionH>
                  <wp:positionV relativeFrom="paragraph">
                    <wp:posOffset>50165</wp:posOffset>
                  </wp:positionV>
                  <wp:extent cx="839470" cy="695960"/>
                  <wp:effectExtent l="0" t="0" r="13970" b="5080"/>
                  <wp:wrapNone/>
                  <wp:docPr id="7" name="图片_112"/>
                  <wp:cNvGraphicFramePr/>
                  <a:graphic xmlns:a="http://schemas.openxmlformats.org/drawingml/2006/main">
                    <a:graphicData uri="http://schemas.openxmlformats.org/drawingml/2006/picture">
                      <pic:pic xmlns:pic="http://schemas.openxmlformats.org/drawingml/2006/picture">
                        <pic:nvPicPr>
                          <pic:cNvPr id="7" name="图片_112"/>
                          <pic:cNvPicPr/>
                        </pic:nvPicPr>
                        <pic:blipFill>
                          <a:blip r:embed="rId24"/>
                          <a:stretch>
                            <a:fillRect/>
                          </a:stretch>
                        </pic:blipFill>
                        <pic:spPr>
                          <a:xfrm>
                            <a:off x="0" y="0"/>
                            <a:ext cx="839470" cy="695960"/>
                          </a:xfrm>
                          <a:prstGeom prst="rect">
                            <a:avLst/>
                          </a:prstGeom>
                          <a:noFill/>
                          <a:ln>
                            <a:noFill/>
                          </a:ln>
                        </pic:spPr>
                      </pic:pic>
                    </a:graphicData>
                  </a:graphic>
                </wp:anchor>
              </w:drawing>
            </w:r>
          </w:p>
        </w:tc>
        <w:tc>
          <w:tcPr>
            <w:tcW w:w="906" w:type="dxa"/>
            <w:shd w:val="clear" w:color="auto" w:fill="FFFFFF"/>
            <w:vAlign w:val="center"/>
          </w:tcPr>
          <w:p w14:paraId="2BD494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06" w:type="dxa"/>
            <w:shd w:val="clear" w:color="auto" w:fill="FFFFFF"/>
            <w:vAlign w:val="center"/>
          </w:tcPr>
          <w:p w14:paraId="6313434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0BB0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1217" w:type="dxa"/>
            <w:shd w:val="clear" w:color="auto" w:fill="FFFFFF"/>
            <w:vAlign w:val="center"/>
          </w:tcPr>
          <w:p w14:paraId="1B67972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电导热油汤粥炉</w:t>
            </w:r>
          </w:p>
        </w:tc>
        <w:tc>
          <w:tcPr>
            <w:tcW w:w="1496" w:type="dxa"/>
            <w:shd w:val="clear" w:color="auto" w:fill="FFFFFF"/>
            <w:vAlign w:val="center"/>
          </w:tcPr>
          <w:p w14:paraId="6D565E8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730*580*960</w:t>
            </w:r>
          </w:p>
        </w:tc>
        <w:tc>
          <w:tcPr>
            <w:tcW w:w="7650" w:type="dxa"/>
            <w:shd w:val="clear" w:color="auto" w:fill="FFFFFF"/>
            <w:vAlign w:val="center"/>
          </w:tcPr>
          <w:p w14:paraId="40818F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内胆304，直径500，容量100L,功率380V9KW ，可以预约</w:t>
            </w:r>
          </w:p>
        </w:tc>
        <w:tc>
          <w:tcPr>
            <w:tcW w:w="1362" w:type="dxa"/>
            <w:shd w:val="clear" w:color="auto" w:fill="FFFFFF"/>
            <w:vAlign w:val="center"/>
          </w:tcPr>
          <w:p w14:paraId="6E90A4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170815</wp:posOffset>
                  </wp:positionH>
                  <wp:positionV relativeFrom="paragraph">
                    <wp:posOffset>84455</wp:posOffset>
                  </wp:positionV>
                  <wp:extent cx="533400" cy="567055"/>
                  <wp:effectExtent l="0" t="0" r="0" b="12065"/>
                  <wp:wrapNone/>
                  <wp:docPr id="9" name="图片_4"/>
                  <wp:cNvGraphicFramePr/>
                  <a:graphic xmlns:a="http://schemas.openxmlformats.org/drawingml/2006/main">
                    <a:graphicData uri="http://schemas.openxmlformats.org/drawingml/2006/picture">
                      <pic:pic xmlns:pic="http://schemas.openxmlformats.org/drawingml/2006/picture">
                        <pic:nvPicPr>
                          <pic:cNvPr id="9" name="图片_4"/>
                          <pic:cNvPicPr/>
                        </pic:nvPicPr>
                        <pic:blipFill>
                          <a:blip r:embed="rId25"/>
                          <a:stretch>
                            <a:fillRect/>
                          </a:stretch>
                        </pic:blipFill>
                        <pic:spPr>
                          <a:xfrm>
                            <a:off x="0" y="0"/>
                            <a:ext cx="533400" cy="567055"/>
                          </a:xfrm>
                          <a:prstGeom prst="rect">
                            <a:avLst/>
                          </a:prstGeom>
                          <a:noFill/>
                          <a:ln>
                            <a:noFill/>
                          </a:ln>
                        </pic:spPr>
                      </pic:pic>
                    </a:graphicData>
                  </a:graphic>
                </wp:anchor>
              </w:drawing>
            </w:r>
          </w:p>
        </w:tc>
        <w:tc>
          <w:tcPr>
            <w:tcW w:w="906" w:type="dxa"/>
            <w:shd w:val="clear" w:color="auto" w:fill="FFFFFF"/>
            <w:vAlign w:val="center"/>
          </w:tcPr>
          <w:p w14:paraId="1BFD27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6" w:type="dxa"/>
            <w:shd w:val="clear" w:color="auto" w:fill="FFFFFF"/>
            <w:vAlign w:val="center"/>
          </w:tcPr>
          <w:p w14:paraId="5F3C181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3D98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1217" w:type="dxa"/>
            <w:shd w:val="clear" w:color="auto" w:fill="FFFFFF"/>
            <w:vAlign w:val="center"/>
          </w:tcPr>
          <w:p w14:paraId="2A3508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挂墙开水炉及底座</w:t>
            </w:r>
          </w:p>
        </w:tc>
        <w:tc>
          <w:tcPr>
            <w:tcW w:w="1496" w:type="dxa"/>
            <w:shd w:val="clear" w:color="auto" w:fill="FFFFFF"/>
            <w:vAlign w:val="center"/>
          </w:tcPr>
          <w:p w14:paraId="62A0227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380V12KW</w:t>
            </w:r>
          </w:p>
        </w:tc>
        <w:tc>
          <w:tcPr>
            <w:tcW w:w="7650" w:type="dxa"/>
            <w:shd w:val="clear" w:color="auto" w:fill="FFFFFF"/>
            <w:vAlign w:val="center"/>
          </w:tcPr>
          <w:p w14:paraId="7172AB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采用SUS304食用级不锈钢板，带浮球缺水自动加水防止干烧</w:t>
            </w:r>
            <w:r>
              <w:rPr>
                <w:rFonts w:hint="eastAsia" w:ascii="宋体" w:hAnsi="宋体" w:eastAsia="宋体" w:cs="宋体"/>
                <w:i w:val="0"/>
                <w:iCs w:val="0"/>
                <w:color w:val="000000"/>
                <w:kern w:val="0"/>
                <w:sz w:val="22"/>
                <w:szCs w:val="22"/>
                <w:highlight w:val="none"/>
                <w:u w:val="none"/>
                <w:lang w:val="en-US" w:eastAsia="zh-CN" w:bidi="ar"/>
              </w:rPr>
              <w:t xml:space="preserve"> 采用SUS304食用级不锈钢板，带浮球缺水自动加水防止干烧</w:t>
            </w:r>
            <w:r>
              <w:rPr>
                <w:rFonts w:hint="eastAsia" w:ascii="宋体" w:hAnsi="宋体" w:cs="宋体"/>
                <w:i w:val="0"/>
                <w:iCs w:val="0"/>
                <w:color w:val="000000"/>
                <w:kern w:val="0"/>
                <w:sz w:val="22"/>
                <w:szCs w:val="22"/>
                <w:highlight w:val="none"/>
                <w:u w:val="none"/>
                <w:lang w:val="en-US" w:eastAsia="zh-CN" w:bidi="ar"/>
              </w:rPr>
              <w:t>。</w:t>
            </w:r>
          </w:p>
        </w:tc>
        <w:tc>
          <w:tcPr>
            <w:tcW w:w="1362" w:type="dxa"/>
            <w:shd w:val="clear" w:color="auto" w:fill="FFFFFF"/>
            <w:vAlign w:val="center"/>
          </w:tcPr>
          <w:p w14:paraId="1D6F4276">
            <w:pPr>
              <w:jc w:val="center"/>
              <w:rPr>
                <w:rFonts w:hint="eastAsia" w:ascii="宋体" w:hAnsi="宋体" w:eastAsia="宋体" w:cs="宋体"/>
                <w:i w:val="0"/>
                <w:iCs w:val="0"/>
                <w:color w:val="000000"/>
                <w:sz w:val="21"/>
                <w:szCs w:val="21"/>
                <w:highlight w:val="none"/>
                <w:u w:val="none"/>
              </w:rPr>
            </w:pPr>
          </w:p>
        </w:tc>
        <w:tc>
          <w:tcPr>
            <w:tcW w:w="906" w:type="dxa"/>
            <w:shd w:val="clear" w:color="auto" w:fill="FFFFFF"/>
            <w:vAlign w:val="center"/>
          </w:tcPr>
          <w:p w14:paraId="0B992C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6" w:type="dxa"/>
            <w:shd w:val="clear" w:color="auto" w:fill="FFFFFF"/>
            <w:vAlign w:val="center"/>
          </w:tcPr>
          <w:p w14:paraId="2997830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1C4B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5" w:hRule="atLeast"/>
        </w:trPr>
        <w:tc>
          <w:tcPr>
            <w:tcW w:w="1217" w:type="dxa"/>
            <w:shd w:val="clear" w:color="auto" w:fill="FFFFFF"/>
            <w:vAlign w:val="center"/>
          </w:tcPr>
          <w:p w14:paraId="3D5DE66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电磁汤面炉 </w:t>
            </w:r>
          </w:p>
        </w:tc>
        <w:tc>
          <w:tcPr>
            <w:tcW w:w="1496" w:type="dxa"/>
            <w:shd w:val="clear" w:color="auto" w:fill="FFFFFF"/>
            <w:vAlign w:val="center"/>
          </w:tcPr>
          <w:p w14:paraId="7EC3F94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380V/12KW</w:t>
            </w:r>
          </w:p>
        </w:tc>
        <w:tc>
          <w:tcPr>
            <w:tcW w:w="7650" w:type="dxa"/>
            <w:shd w:val="clear" w:color="auto" w:fill="FFFFFF"/>
            <w:vAlign w:val="center"/>
          </w:tcPr>
          <w:p w14:paraId="416BC61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1.额定电压：380V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2.功率：12KW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3.用料：采用优质不锈钢板材制作、面板采用1.5mm不锈钢板一体冲压成型，防水易清洁，侧前、靠背板采用1.0mm，坚固耐用。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采用密绕全铜聚能线圈，电能转换更加高效，热效率高达90%，采用技术先进领先的GBT模块设计，运行速度高，耐反高电压，工作电流大，性能稳定，采用食品级不锈钢结构设计具有防水、防油烟、防漏电等多重安全保护；智能控制盒设计,火力自动调节,大功率输出,超强大功率输出直流风机,排风散热集中，比普通燃气/油灶节能50%，无明火，无烟尘，无废气，优化厨房环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5.机械旋转式8档档位开关，精细化火力分布设计，满足厨师的火力精准需求</w:t>
            </w:r>
            <w:r>
              <w:rPr>
                <w:rFonts w:hint="eastAsia" w:ascii="宋体" w:hAnsi="宋体" w:eastAsia="宋体" w:cs="宋体"/>
                <w:i w:val="0"/>
                <w:iCs w:val="0"/>
                <w:color w:val="0000FF"/>
                <w:kern w:val="0"/>
                <w:sz w:val="21"/>
                <w:szCs w:val="21"/>
                <w:highlight w:val="none"/>
                <w:u w:val="none"/>
                <w:lang w:val="en-US" w:eastAsia="zh-CN" w:bidi="ar"/>
              </w:rPr>
              <w:t xml:space="preserve">                                                       </w:t>
            </w:r>
          </w:p>
        </w:tc>
        <w:tc>
          <w:tcPr>
            <w:tcW w:w="1362" w:type="dxa"/>
            <w:shd w:val="clear" w:color="auto" w:fill="FFFFFF"/>
            <w:vAlign w:val="center"/>
          </w:tcPr>
          <w:p w14:paraId="1C67F4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79375</wp:posOffset>
                  </wp:positionH>
                  <wp:positionV relativeFrom="paragraph">
                    <wp:posOffset>150495</wp:posOffset>
                  </wp:positionV>
                  <wp:extent cx="673100" cy="921385"/>
                  <wp:effectExtent l="0" t="0" r="12700" b="8255"/>
                  <wp:wrapNone/>
                  <wp:docPr id="10" name="图片_3"/>
                  <wp:cNvGraphicFramePr/>
                  <a:graphic xmlns:a="http://schemas.openxmlformats.org/drawingml/2006/main">
                    <a:graphicData uri="http://schemas.openxmlformats.org/drawingml/2006/picture">
                      <pic:pic xmlns:pic="http://schemas.openxmlformats.org/drawingml/2006/picture">
                        <pic:nvPicPr>
                          <pic:cNvPr id="10" name="图片_3"/>
                          <pic:cNvPicPr/>
                        </pic:nvPicPr>
                        <pic:blipFill>
                          <a:blip r:embed="rId26"/>
                          <a:stretch>
                            <a:fillRect/>
                          </a:stretch>
                        </pic:blipFill>
                        <pic:spPr>
                          <a:xfrm>
                            <a:off x="0" y="0"/>
                            <a:ext cx="673100" cy="921385"/>
                          </a:xfrm>
                          <a:prstGeom prst="rect">
                            <a:avLst/>
                          </a:prstGeom>
                          <a:noFill/>
                          <a:ln>
                            <a:noFill/>
                          </a:ln>
                        </pic:spPr>
                      </pic:pic>
                    </a:graphicData>
                  </a:graphic>
                </wp:anchor>
              </w:drawing>
            </w:r>
          </w:p>
        </w:tc>
        <w:tc>
          <w:tcPr>
            <w:tcW w:w="906" w:type="dxa"/>
            <w:shd w:val="clear" w:color="auto" w:fill="FFFFFF"/>
            <w:vAlign w:val="center"/>
          </w:tcPr>
          <w:p w14:paraId="3410D9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6" w:type="dxa"/>
            <w:shd w:val="clear" w:color="auto" w:fill="FFFFFF"/>
            <w:vAlign w:val="center"/>
          </w:tcPr>
          <w:p w14:paraId="0C3F9425">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5035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8" w:hRule="atLeast"/>
        </w:trPr>
        <w:tc>
          <w:tcPr>
            <w:tcW w:w="1217" w:type="dxa"/>
            <w:shd w:val="clear" w:color="auto" w:fill="FFFFFF"/>
            <w:vAlign w:val="center"/>
          </w:tcPr>
          <w:p w14:paraId="13AF2E7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★电烤箱（两层四盘落地烤箱）</w:t>
            </w:r>
          </w:p>
        </w:tc>
        <w:tc>
          <w:tcPr>
            <w:tcW w:w="1496" w:type="dxa"/>
            <w:shd w:val="clear" w:color="auto" w:fill="FFFFFF"/>
            <w:vAlign w:val="center"/>
          </w:tcPr>
          <w:p w14:paraId="293ED4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1240*855*1255  </w:t>
            </w:r>
          </w:p>
        </w:tc>
        <w:tc>
          <w:tcPr>
            <w:tcW w:w="7650" w:type="dxa"/>
            <w:shd w:val="clear" w:color="auto" w:fill="FFFFFF"/>
            <w:vAlign w:val="center"/>
          </w:tcPr>
          <w:p w14:paraId="21F0DDA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温度可调节范围：室温～400℃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控制方式：智能上下独立控温，380V13.2KW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产品尺寸：1240*855*1255(mm)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内膛尺寸：870*650*210（mm）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单次加工盘数：4盘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机器重量：148kg                                                                                                                                                           </w:t>
            </w:r>
          </w:p>
        </w:tc>
        <w:tc>
          <w:tcPr>
            <w:tcW w:w="1362" w:type="dxa"/>
            <w:shd w:val="clear" w:color="auto" w:fill="FFFFFF"/>
            <w:vAlign w:val="center"/>
          </w:tcPr>
          <w:p w14:paraId="55A085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-7620</wp:posOffset>
                  </wp:positionH>
                  <wp:positionV relativeFrom="paragraph">
                    <wp:posOffset>150495</wp:posOffset>
                  </wp:positionV>
                  <wp:extent cx="735965" cy="1110615"/>
                  <wp:effectExtent l="0" t="0" r="10795" b="1905"/>
                  <wp:wrapNone/>
                  <wp:docPr id="1" name="图片_9"/>
                  <wp:cNvGraphicFramePr/>
                  <a:graphic xmlns:a="http://schemas.openxmlformats.org/drawingml/2006/main">
                    <a:graphicData uri="http://schemas.openxmlformats.org/drawingml/2006/picture">
                      <pic:pic xmlns:pic="http://schemas.openxmlformats.org/drawingml/2006/picture">
                        <pic:nvPicPr>
                          <pic:cNvPr id="1" name="图片_9"/>
                          <pic:cNvPicPr/>
                        </pic:nvPicPr>
                        <pic:blipFill>
                          <a:blip r:embed="rId27"/>
                          <a:stretch>
                            <a:fillRect/>
                          </a:stretch>
                        </pic:blipFill>
                        <pic:spPr>
                          <a:xfrm>
                            <a:off x="0" y="0"/>
                            <a:ext cx="735965" cy="1110615"/>
                          </a:xfrm>
                          <a:prstGeom prst="rect">
                            <a:avLst/>
                          </a:prstGeom>
                          <a:noFill/>
                          <a:ln>
                            <a:noFill/>
                          </a:ln>
                        </pic:spPr>
                      </pic:pic>
                    </a:graphicData>
                  </a:graphic>
                </wp:anchor>
              </w:drawing>
            </w:r>
          </w:p>
        </w:tc>
        <w:tc>
          <w:tcPr>
            <w:tcW w:w="906" w:type="dxa"/>
            <w:shd w:val="clear" w:color="auto" w:fill="FFFFFF"/>
            <w:vAlign w:val="center"/>
          </w:tcPr>
          <w:p w14:paraId="0C5EFC2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6" w:type="dxa"/>
            <w:shd w:val="clear" w:color="auto" w:fill="FFFFFF"/>
            <w:vAlign w:val="center"/>
          </w:tcPr>
          <w:p w14:paraId="21378E84">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705F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30" w:hRule="atLeast"/>
        </w:trPr>
        <w:tc>
          <w:tcPr>
            <w:tcW w:w="1217" w:type="dxa"/>
            <w:shd w:val="clear" w:color="auto" w:fill="FFFFFF"/>
            <w:vAlign w:val="center"/>
          </w:tcPr>
          <w:p w14:paraId="6145711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冷冻冷库</w:t>
            </w:r>
          </w:p>
        </w:tc>
        <w:tc>
          <w:tcPr>
            <w:tcW w:w="1496" w:type="dxa"/>
            <w:shd w:val="clear" w:color="auto" w:fill="FFFFFF"/>
            <w:vAlign w:val="center"/>
          </w:tcPr>
          <w:p w14:paraId="4146B7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4000*3000*2800</w:t>
            </w:r>
          </w:p>
        </w:tc>
        <w:tc>
          <w:tcPr>
            <w:tcW w:w="7650" w:type="dxa"/>
            <w:shd w:val="clear" w:color="auto" w:fill="FFFFFF"/>
            <w:vAlign w:val="center"/>
          </w:tcPr>
          <w:p w14:paraId="0F8578B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冷库外尺寸大小(单位m) 4 宽 ： 3 高 ： 2.8 总立方数：33.6m³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2、冷库温度：-18°冷冻温度可调节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3、库体结构：聚氨酯外面彩钢，里面304不锈钢板，装配式冷库6面体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4、最大功率(额定):4KW/h(1P功率0.735KW/H 4P*0.735+风冷蒸发器2*0.2KW/h=最大功率4KW/h)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具体做法：A、库板：冷库库板与库板的连接使用定制凸轮式偏心勾锁快速自锁扣安装；系统对化学品稳定而且达到国家洁净卫生标准，库内外表面平整光滑，所有冷库接缝处采用聚氯乙烯密封胶条，确保冷库的气密性，其防渗水性能使库板可以用喷水器清。</w:t>
            </w:r>
            <w:r>
              <w:rPr>
                <w:rFonts w:hint="eastAsia" w:ascii="宋体" w:hAnsi="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B、库板厚度：100mm内外层表面金属材料均选用304不锈钢单面库板0.6mm聚氨酯夹芯板，聚氨酯密度密度标准≥38±2㎏/m³。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E、平掩门门洞参考尺寸为：800*1900H/MM；门和墙板平滑连接，不外凸。</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F、冷库门门框为单身门框而不带冷桥，镶嵌耐低温的磁性密封胶条，具有良好的弹性和耐磨性，能防止发霉，表面光洁，不藏污纳垢，易清洁。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G、冷库门框均配置发热线(220V/1/50Hz)以防结露，门框发热线凹槽为可拆卸式，方便发热线更换。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J、冷库的灯开关必须嵌入式安装在门框上，防水等级达到 IP67，LED 环形光圈指示灯以方便在库外查看库灯的开闭，防腐耐压。中心高度离 完成地面≤1500MM,所有的管线必须安装在门板框内,不能外露。</w:t>
            </w:r>
            <w:r>
              <w:rPr>
                <w:rFonts w:hint="eastAsia" w:ascii="宋体" w:hAnsi="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I、冷冻库温度范围：-13~-18℃；冷藏库温度范围：0~8℃。</w:t>
            </w:r>
          </w:p>
        </w:tc>
        <w:tc>
          <w:tcPr>
            <w:tcW w:w="1362" w:type="dxa"/>
            <w:shd w:val="clear" w:color="auto" w:fill="FFFFFF"/>
            <w:vAlign w:val="center"/>
          </w:tcPr>
          <w:p w14:paraId="72F5F28A">
            <w:pPr>
              <w:jc w:val="center"/>
              <w:rPr>
                <w:rFonts w:hint="eastAsia" w:ascii="宋体" w:hAnsi="宋体" w:eastAsia="宋体" w:cs="宋体"/>
                <w:i w:val="0"/>
                <w:iCs w:val="0"/>
                <w:color w:val="000000"/>
                <w:sz w:val="21"/>
                <w:szCs w:val="21"/>
                <w:highlight w:val="none"/>
                <w:u w:val="none"/>
              </w:rPr>
            </w:pPr>
          </w:p>
        </w:tc>
        <w:tc>
          <w:tcPr>
            <w:tcW w:w="906" w:type="dxa"/>
            <w:shd w:val="clear" w:color="auto" w:fill="FFFFFF"/>
            <w:vAlign w:val="center"/>
          </w:tcPr>
          <w:p w14:paraId="0DD40022">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6" w:type="dxa"/>
            <w:shd w:val="clear" w:color="auto" w:fill="FFFFFF"/>
            <w:vAlign w:val="center"/>
          </w:tcPr>
          <w:p w14:paraId="355EF129">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22D5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1217" w:type="dxa"/>
            <w:shd w:val="clear" w:color="auto" w:fill="FFFFFF"/>
            <w:vAlign w:val="center"/>
          </w:tcPr>
          <w:p w14:paraId="6EEF3E6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冷库货架</w:t>
            </w:r>
          </w:p>
        </w:tc>
        <w:tc>
          <w:tcPr>
            <w:tcW w:w="1496" w:type="dxa"/>
            <w:shd w:val="clear" w:color="auto" w:fill="FFFFFF"/>
            <w:vAlign w:val="center"/>
          </w:tcPr>
          <w:p w14:paraId="512B370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1200*500*1800</w:t>
            </w:r>
          </w:p>
        </w:tc>
        <w:tc>
          <w:tcPr>
            <w:tcW w:w="7650" w:type="dxa"/>
            <w:shd w:val="clear" w:color="auto" w:fill="FFFFFF"/>
            <w:vAlign w:val="center"/>
          </w:tcPr>
          <w:p w14:paraId="1225991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采用SUS304#不锈钢拉丝板，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1、层板全部为1.2mm厚不锈钢结构，满足卫生和清洁要求；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2、货架体与货架层板的连接点均焊接抛光；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3、货架层板底部采用加强筋，厚度为1.0mm；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4、货架体采用φ38㎜×1.2mm厚不锈钢圆管；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5、配不锈钢可调节子弹脚。</w:t>
            </w:r>
          </w:p>
        </w:tc>
        <w:tc>
          <w:tcPr>
            <w:tcW w:w="1362" w:type="dxa"/>
            <w:shd w:val="clear" w:color="auto" w:fill="FFFFFF"/>
            <w:vAlign w:val="center"/>
          </w:tcPr>
          <w:p w14:paraId="7123BD2D">
            <w:pPr>
              <w:jc w:val="center"/>
              <w:rPr>
                <w:rFonts w:hint="eastAsia" w:ascii="宋体" w:hAnsi="宋体" w:eastAsia="宋体" w:cs="宋体"/>
                <w:i w:val="0"/>
                <w:iCs w:val="0"/>
                <w:color w:val="000000"/>
                <w:sz w:val="21"/>
                <w:szCs w:val="21"/>
                <w:highlight w:val="none"/>
                <w:u w:val="none"/>
              </w:rPr>
            </w:pPr>
          </w:p>
        </w:tc>
        <w:tc>
          <w:tcPr>
            <w:tcW w:w="906" w:type="dxa"/>
            <w:shd w:val="clear" w:color="auto" w:fill="FFFFFF"/>
            <w:vAlign w:val="center"/>
          </w:tcPr>
          <w:p w14:paraId="369E873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c>
          <w:tcPr>
            <w:tcW w:w="906" w:type="dxa"/>
            <w:shd w:val="clear" w:color="auto" w:fill="FFFFFF"/>
            <w:vAlign w:val="center"/>
          </w:tcPr>
          <w:p w14:paraId="351C42FE">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r>
      <w:tr w14:paraId="57C5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0" w:hRule="atLeast"/>
        </w:trPr>
        <w:tc>
          <w:tcPr>
            <w:tcW w:w="1217" w:type="dxa"/>
            <w:shd w:val="clear" w:color="auto" w:fill="FFFFFF"/>
            <w:vAlign w:val="center"/>
          </w:tcPr>
          <w:p w14:paraId="0B1FB55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全自动豆浆机</w:t>
            </w:r>
          </w:p>
        </w:tc>
        <w:tc>
          <w:tcPr>
            <w:tcW w:w="1496" w:type="dxa"/>
            <w:shd w:val="clear" w:color="auto" w:fill="FFFFFF"/>
            <w:vAlign w:val="center"/>
          </w:tcPr>
          <w:p w14:paraId="77E2D7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20L </w:t>
            </w:r>
          </w:p>
        </w:tc>
        <w:tc>
          <w:tcPr>
            <w:tcW w:w="7650" w:type="dxa"/>
            <w:shd w:val="clear" w:color="auto" w:fill="auto"/>
            <w:noWrap/>
            <w:vAlign w:val="center"/>
          </w:tcPr>
          <w:p w14:paraId="12D9128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渣浆分离豆浆机，底盘加热，内置滤网，预约功能</w:t>
            </w:r>
          </w:p>
        </w:tc>
        <w:tc>
          <w:tcPr>
            <w:tcW w:w="1362" w:type="dxa"/>
            <w:shd w:val="clear" w:color="auto" w:fill="FFFFFF"/>
            <w:vAlign w:val="center"/>
          </w:tcPr>
          <w:p w14:paraId="6B0A1F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255905</wp:posOffset>
                  </wp:positionH>
                  <wp:positionV relativeFrom="paragraph">
                    <wp:posOffset>6350</wp:posOffset>
                  </wp:positionV>
                  <wp:extent cx="334010" cy="525145"/>
                  <wp:effectExtent l="0" t="0" r="1270" b="8255"/>
                  <wp:wrapNone/>
                  <wp:docPr id="2" name="图片_7"/>
                  <wp:cNvGraphicFramePr/>
                  <a:graphic xmlns:a="http://schemas.openxmlformats.org/drawingml/2006/main">
                    <a:graphicData uri="http://schemas.openxmlformats.org/drawingml/2006/picture">
                      <pic:pic xmlns:pic="http://schemas.openxmlformats.org/drawingml/2006/picture">
                        <pic:nvPicPr>
                          <pic:cNvPr id="2" name="图片_7"/>
                          <pic:cNvPicPr/>
                        </pic:nvPicPr>
                        <pic:blipFill>
                          <a:blip r:embed="rId28"/>
                          <a:stretch>
                            <a:fillRect/>
                          </a:stretch>
                        </pic:blipFill>
                        <pic:spPr>
                          <a:xfrm>
                            <a:off x="0" y="0"/>
                            <a:ext cx="334010" cy="525145"/>
                          </a:xfrm>
                          <a:prstGeom prst="rect">
                            <a:avLst/>
                          </a:prstGeom>
                          <a:noFill/>
                          <a:ln>
                            <a:noFill/>
                          </a:ln>
                        </pic:spPr>
                      </pic:pic>
                    </a:graphicData>
                  </a:graphic>
                </wp:anchor>
              </w:drawing>
            </w:r>
          </w:p>
        </w:tc>
        <w:tc>
          <w:tcPr>
            <w:tcW w:w="906" w:type="dxa"/>
            <w:shd w:val="clear" w:color="auto" w:fill="FFFFFF"/>
            <w:vAlign w:val="center"/>
          </w:tcPr>
          <w:p w14:paraId="4A3DA27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06" w:type="dxa"/>
            <w:shd w:val="clear" w:color="auto" w:fill="FFFFFF"/>
            <w:vAlign w:val="center"/>
          </w:tcPr>
          <w:p w14:paraId="35BC34D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0BCA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trPr>
        <w:tc>
          <w:tcPr>
            <w:tcW w:w="1217" w:type="dxa"/>
            <w:shd w:val="clear" w:color="auto" w:fill="FFFFFF"/>
            <w:vAlign w:val="center"/>
          </w:tcPr>
          <w:p w14:paraId="0B77115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电饭锅</w:t>
            </w:r>
          </w:p>
        </w:tc>
        <w:tc>
          <w:tcPr>
            <w:tcW w:w="1496" w:type="dxa"/>
            <w:shd w:val="clear" w:color="auto" w:fill="FFFFFF"/>
            <w:vAlign w:val="center"/>
          </w:tcPr>
          <w:p w14:paraId="4BF706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5L</w:t>
            </w:r>
          </w:p>
        </w:tc>
        <w:tc>
          <w:tcPr>
            <w:tcW w:w="7650" w:type="dxa"/>
            <w:shd w:val="clear" w:color="auto" w:fill="FFFFFF"/>
            <w:vAlign w:val="center"/>
          </w:tcPr>
          <w:p w14:paraId="7CF92FAA">
            <w:pPr>
              <w:jc w:val="both"/>
              <w:rPr>
                <w:rFonts w:hint="eastAsia" w:ascii="宋体" w:hAnsi="宋体" w:eastAsia="宋体" w:cs="宋体"/>
                <w:i w:val="0"/>
                <w:iCs w:val="0"/>
                <w:color w:val="000000"/>
                <w:sz w:val="21"/>
                <w:szCs w:val="21"/>
                <w:highlight w:val="none"/>
                <w:u w:val="none"/>
              </w:rPr>
            </w:pPr>
          </w:p>
        </w:tc>
        <w:tc>
          <w:tcPr>
            <w:tcW w:w="1362" w:type="dxa"/>
            <w:shd w:val="clear" w:color="auto" w:fill="FFFFFF"/>
            <w:vAlign w:val="center"/>
          </w:tcPr>
          <w:p w14:paraId="7243F3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166370</wp:posOffset>
                  </wp:positionH>
                  <wp:positionV relativeFrom="paragraph">
                    <wp:posOffset>25400</wp:posOffset>
                  </wp:positionV>
                  <wp:extent cx="598170" cy="532765"/>
                  <wp:effectExtent l="0" t="0" r="11430" b="635"/>
                  <wp:wrapNone/>
                  <wp:docPr id="3" name="图片_8"/>
                  <wp:cNvGraphicFramePr/>
                  <a:graphic xmlns:a="http://schemas.openxmlformats.org/drawingml/2006/main">
                    <a:graphicData uri="http://schemas.openxmlformats.org/drawingml/2006/picture">
                      <pic:pic xmlns:pic="http://schemas.openxmlformats.org/drawingml/2006/picture">
                        <pic:nvPicPr>
                          <pic:cNvPr id="3" name="图片_8"/>
                          <pic:cNvPicPr/>
                        </pic:nvPicPr>
                        <pic:blipFill>
                          <a:blip r:embed="rId29"/>
                          <a:stretch>
                            <a:fillRect/>
                          </a:stretch>
                        </pic:blipFill>
                        <pic:spPr>
                          <a:xfrm>
                            <a:off x="0" y="0"/>
                            <a:ext cx="598170" cy="532765"/>
                          </a:xfrm>
                          <a:prstGeom prst="rect">
                            <a:avLst/>
                          </a:prstGeom>
                          <a:noFill/>
                          <a:ln>
                            <a:noFill/>
                          </a:ln>
                        </pic:spPr>
                      </pic:pic>
                    </a:graphicData>
                  </a:graphic>
                </wp:anchor>
              </w:drawing>
            </w:r>
          </w:p>
        </w:tc>
        <w:tc>
          <w:tcPr>
            <w:tcW w:w="906" w:type="dxa"/>
            <w:shd w:val="clear" w:color="auto" w:fill="FFFFFF"/>
            <w:vAlign w:val="center"/>
          </w:tcPr>
          <w:p w14:paraId="723EA927">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06" w:type="dxa"/>
            <w:shd w:val="clear" w:color="auto" w:fill="FFFFFF"/>
            <w:vAlign w:val="center"/>
          </w:tcPr>
          <w:p w14:paraId="058153C7">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6ABF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0" w:hRule="atLeast"/>
        </w:trPr>
        <w:tc>
          <w:tcPr>
            <w:tcW w:w="1217" w:type="dxa"/>
            <w:shd w:val="clear" w:color="auto" w:fill="FFFFFF"/>
            <w:vAlign w:val="center"/>
          </w:tcPr>
          <w:p w14:paraId="3770719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调味推车</w:t>
            </w:r>
          </w:p>
        </w:tc>
        <w:tc>
          <w:tcPr>
            <w:tcW w:w="1496" w:type="dxa"/>
            <w:shd w:val="clear" w:color="auto" w:fill="FFFFFF"/>
            <w:vAlign w:val="center"/>
          </w:tcPr>
          <w:p w14:paraId="2613D0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500*800*800</w:t>
            </w:r>
          </w:p>
        </w:tc>
        <w:tc>
          <w:tcPr>
            <w:tcW w:w="7650" w:type="dxa"/>
            <w:shd w:val="clear" w:color="auto" w:fill="auto"/>
            <w:vAlign w:val="center"/>
          </w:tcPr>
          <w:p w14:paraId="186A561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采用SUS304不锈钢：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1、车架采用δ1.0*30*30mm不锈钢方管；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2、车体采用1.0mm不锈钢板；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3、车盖采用δ1.0mm不锈钢板；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4、配4只进口脚轮，2只带刹车製动</w:t>
            </w:r>
          </w:p>
        </w:tc>
        <w:tc>
          <w:tcPr>
            <w:tcW w:w="1362" w:type="dxa"/>
            <w:shd w:val="clear" w:color="auto" w:fill="FFFFFF"/>
            <w:vAlign w:val="center"/>
          </w:tcPr>
          <w:p w14:paraId="5456F5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84455</wp:posOffset>
                  </wp:positionH>
                  <wp:positionV relativeFrom="paragraph">
                    <wp:posOffset>165100</wp:posOffset>
                  </wp:positionV>
                  <wp:extent cx="612140" cy="562610"/>
                  <wp:effectExtent l="0" t="0" r="12700" b="1270"/>
                  <wp:wrapNone/>
                  <wp:docPr id="4" name="图片_176"/>
                  <wp:cNvGraphicFramePr/>
                  <a:graphic xmlns:a="http://schemas.openxmlformats.org/drawingml/2006/main">
                    <a:graphicData uri="http://schemas.openxmlformats.org/drawingml/2006/picture">
                      <pic:pic xmlns:pic="http://schemas.openxmlformats.org/drawingml/2006/picture">
                        <pic:nvPicPr>
                          <pic:cNvPr id="4" name="图片_176"/>
                          <pic:cNvPicPr/>
                        </pic:nvPicPr>
                        <pic:blipFill>
                          <a:blip r:embed="rId30"/>
                          <a:stretch>
                            <a:fillRect/>
                          </a:stretch>
                        </pic:blipFill>
                        <pic:spPr>
                          <a:xfrm>
                            <a:off x="0" y="0"/>
                            <a:ext cx="612140" cy="562610"/>
                          </a:xfrm>
                          <a:prstGeom prst="rect">
                            <a:avLst/>
                          </a:prstGeom>
                          <a:noFill/>
                          <a:ln>
                            <a:noFill/>
                          </a:ln>
                        </pic:spPr>
                      </pic:pic>
                    </a:graphicData>
                  </a:graphic>
                </wp:anchor>
              </w:drawing>
            </w:r>
          </w:p>
        </w:tc>
        <w:tc>
          <w:tcPr>
            <w:tcW w:w="906" w:type="dxa"/>
            <w:shd w:val="clear" w:color="auto" w:fill="FFFFFF"/>
            <w:vAlign w:val="center"/>
          </w:tcPr>
          <w:p w14:paraId="05E627AC">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辆</w:t>
            </w:r>
          </w:p>
        </w:tc>
        <w:tc>
          <w:tcPr>
            <w:tcW w:w="906" w:type="dxa"/>
            <w:shd w:val="clear" w:color="auto" w:fill="FFFFFF"/>
            <w:vAlign w:val="center"/>
          </w:tcPr>
          <w:p w14:paraId="6EC5C355">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0B8A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1217" w:type="dxa"/>
            <w:shd w:val="clear" w:color="auto" w:fill="FFFFFF"/>
            <w:vAlign w:val="center"/>
          </w:tcPr>
          <w:p w14:paraId="7983410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冷水龙头</w:t>
            </w:r>
          </w:p>
        </w:tc>
        <w:tc>
          <w:tcPr>
            <w:tcW w:w="1496" w:type="dxa"/>
            <w:shd w:val="clear" w:color="auto" w:fill="FFFFFF"/>
            <w:vAlign w:val="center"/>
          </w:tcPr>
          <w:p w14:paraId="540ABD7E">
            <w:pPr>
              <w:jc w:val="center"/>
              <w:rPr>
                <w:rFonts w:hint="eastAsia" w:ascii="宋体" w:hAnsi="宋体" w:eastAsia="宋体" w:cs="宋体"/>
                <w:i w:val="0"/>
                <w:iCs w:val="0"/>
                <w:color w:val="000000"/>
                <w:sz w:val="21"/>
                <w:szCs w:val="21"/>
                <w:highlight w:val="none"/>
                <w:u w:val="none"/>
              </w:rPr>
            </w:pPr>
          </w:p>
        </w:tc>
        <w:tc>
          <w:tcPr>
            <w:tcW w:w="7650" w:type="dxa"/>
            <w:shd w:val="clear" w:color="auto" w:fill="auto"/>
            <w:noWrap/>
            <w:vAlign w:val="center"/>
          </w:tcPr>
          <w:p w14:paraId="4ED162C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w:t>
            </w:r>
          </w:p>
        </w:tc>
        <w:tc>
          <w:tcPr>
            <w:tcW w:w="1362" w:type="dxa"/>
            <w:shd w:val="clear" w:color="auto" w:fill="FFFFFF"/>
            <w:vAlign w:val="center"/>
          </w:tcPr>
          <w:p w14:paraId="0CD204BC">
            <w:pPr>
              <w:jc w:val="center"/>
              <w:rPr>
                <w:rFonts w:hint="eastAsia" w:ascii="宋体" w:hAnsi="宋体" w:eastAsia="宋体" w:cs="宋体"/>
                <w:i w:val="0"/>
                <w:iCs w:val="0"/>
                <w:color w:val="000000"/>
                <w:sz w:val="21"/>
                <w:szCs w:val="21"/>
                <w:highlight w:val="none"/>
                <w:u w:val="none"/>
              </w:rPr>
            </w:pPr>
          </w:p>
        </w:tc>
        <w:tc>
          <w:tcPr>
            <w:tcW w:w="906" w:type="dxa"/>
            <w:shd w:val="clear" w:color="auto" w:fill="FFFFFF"/>
            <w:vAlign w:val="center"/>
          </w:tcPr>
          <w:p w14:paraId="50FA14A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06" w:type="dxa"/>
            <w:shd w:val="clear" w:color="auto" w:fill="FFFFFF"/>
            <w:vAlign w:val="center"/>
          </w:tcPr>
          <w:p w14:paraId="48DAF26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14:paraId="7CC1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217" w:type="dxa"/>
            <w:shd w:val="clear" w:color="auto" w:fill="FFFFFF"/>
            <w:vAlign w:val="center"/>
          </w:tcPr>
          <w:p w14:paraId="5079AB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连接管</w:t>
            </w:r>
          </w:p>
        </w:tc>
        <w:tc>
          <w:tcPr>
            <w:tcW w:w="1496" w:type="dxa"/>
            <w:shd w:val="clear" w:color="auto" w:fill="FFFFFF"/>
            <w:vAlign w:val="center"/>
          </w:tcPr>
          <w:p w14:paraId="1E0F516C">
            <w:pPr>
              <w:jc w:val="center"/>
              <w:rPr>
                <w:rFonts w:hint="eastAsia" w:ascii="宋体" w:hAnsi="宋体" w:eastAsia="宋体" w:cs="宋体"/>
                <w:i w:val="0"/>
                <w:iCs w:val="0"/>
                <w:color w:val="000000"/>
                <w:sz w:val="21"/>
                <w:szCs w:val="21"/>
                <w:highlight w:val="none"/>
                <w:u w:val="none"/>
              </w:rPr>
            </w:pPr>
          </w:p>
        </w:tc>
        <w:tc>
          <w:tcPr>
            <w:tcW w:w="7650" w:type="dxa"/>
            <w:shd w:val="clear" w:color="auto" w:fill="auto"/>
            <w:noWrap/>
            <w:vAlign w:val="center"/>
          </w:tcPr>
          <w:p w14:paraId="1A32D1B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w:t>
            </w:r>
          </w:p>
        </w:tc>
        <w:tc>
          <w:tcPr>
            <w:tcW w:w="1362" w:type="dxa"/>
            <w:shd w:val="clear" w:color="auto" w:fill="FFFFFF"/>
            <w:vAlign w:val="center"/>
          </w:tcPr>
          <w:p w14:paraId="48E13759">
            <w:pPr>
              <w:jc w:val="center"/>
              <w:rPr>
                <w:rFonts w:hint="eastAsia" w:ascii="宋体" w:hAnsi="宋体" w:eastAsia="宋体" w:cs="宋体"/>
                <w:i w:val="0"/>
                <w:iCs w:val="0"/>
                <w:color w:val="000000"/>
                <w:sz w:val="21"/>
                <w:szCs w:val="21"/>
                <w:highlight w:val="none"/>
                <w:u w:val="none"/>
              </w:rPr>
            </w:pPr>
          </w:p>
        </w:tc>
        <w:tc>
          <w:tcPr>
            <w:tcW w:w="906" w:type="dxa"/>
            <w:shd w:val="clear" w:color="auto" w:fill="FFFFFF"/>
            <w:vAlign w:val="center"/>
          </w:tcPr>
          <w:p w14:paraId="2D8602B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06" w:type="dxa"/>
            <w:shd w:val="clear" w:color="auto" w:fill="FFFFFF"/>
            <w:vAlign w:val="center"/>
          </w:tcPr>
          <w:p w14:paraId="6665D3E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r>
    </w:tbl>
    <w:p w14:paraId="05EF9495">
      <w:pPr>
        <w:pStyle w:val="2"/>
        <w:keepNext w:val="0"/>
        <w:ind w:firstLine="562" w:firstLineChars="200"/>
        <w:jc w:val="left"/>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i w:val="0"/>
          <w:iCs w:val="0"/>
          <w:color w:val="auto"/>
          <w:kern w:val="0"/>
          <w:sz w:val="28"/>
          <w:szCs w:val="28"/>
          <w:highlight w:val="none"/>
          <w:u w:val="none"/>
          <w:lang w:val="en-US" w:eastAsia="zh-CN" w:bidi="ar"/>
        </w:rPr>
        <w:t>备注：本项目的核心产品为电烤箱（两层四盘落地烤箱）</w:t>
      </w:r>
    </w:p>
    <w:p w14:paraId="649F7961">
      <w:pPr>
        <w:keepNext w:val="0"/>
        <w:keepLines w:val="0"/>
        <w:pageBreakBefore w:val="0"/>
        <w:widowControl w:val="0"/>
        <w:kinsoku/>
        <w:wordWrap/>
        <w:overflowPunct/>
        <w:topLinePunct w:val="0"/>
        <w:autoSpaceDE/>
        <w:autoSpaceDN/>
        <w:bidi w:val="0"/>
        <w:adjustRightInd w:val="0"/>
        <w:snapToGrid w:val="0"/>
        <w:spacing w:line="360" w:lineRule="auto"/>
        <w:ind w:firstLine="236" w:firstLineChars="98"/>
        <w:textAlignment w:val="auto"/>
        <w:rPr>
          <w:rFonts w:hint="eastAsia" w:ascii="新宋体" w:hAnsi="新宋体" w:eastAsia="新宋体" w:cs="Times New Roman"/>
          <w:b/>
          <w:color w:val="auto"/>
          <w:sz w:val="24"/>
          <w:szCs w:val="24"/>
          <w:highlight w:val="none"/>
          <w:lang w:val="en-US" w:eastAsia="zh-CN"/>
        </w:rPr>
      </w:pPr>
      <w:r>
        <w:rPr>
          <w:rFonts w:hint="eastAsia" w:ascii="新宋体" w:hAnsi="新宋体" w:eastAsia="新宋体" w:cs="Times New Roman"/>
          <w:b/>
          <w:color w:val="auto"/>
          <w:sz w:val="24"/>
          <w:szCs w:val="24"/>
          <w:highlight w:val="none"/>
          <w:lang w:val="en-US" w:eastAsia="zh-CN"/>
        </w:rPr>
        <w:t>二、主要设备</w:t>
      </w:r>
      <w:r>
        <w:rPr>
          <w:rFonts w:hint="eastAsia" w:ascii="新宋体" w:hAnsi="新宋体" w:eastAsia="新宋体" w:cs="Times New Roman"/>
          <w:b/>
          <w:color w:val="auto"/>
          <w:sz w:val="24"/>
          <w:szCs w:val="24"/>
          <w:highlight w:val="none"/>
        </w:rPr>
        <w:t>技术</w:t>
      </w:r>
      <w:r>
        <w:rPr>
          <w:rFonts w:hint="eastAsia" w:ascii="新宋体" w:hAnsi="新宋体" w:eastAsia="新宋体" w:cs="Times New Roman"/>
          <w:b/>
          <w:color w:val="auto"/>
          <w:sz w:val="24"/>
          <w:szCs w:val="24"/>
          <w:highlight w:val="none"/>
          <w:lang w:val="en-US" w:eastAsia="zh-CN"/>
        </w:rPr>
        <w:t>参数要求</w:t>
      </w:r>
    </w:p>
    <w:p w14:paraId="208EBB04">
      <w:pPr>
        <w:keepNext w:val="0"/>
        <w:keepLines w:val="0"/>
        <w:pageBreakBefore w:val="0"/>
        <w:widowControl w:val="0"/>
        <w:kinsoku/>
        <w:wordWrap/>
        <w:overflowPunct/>
        <w:topLinePunct w:val="0"/>
        <w:autoSpaceDE/>
        <w:autoSpaceDN/>
        <w:bidi w:val="0"/>
        <w:adjustRightInd w:val="0"/>
        <w:snapToGrid w:val="0"/>
        <w:spacing w:line="360" w:lineRule="auto"/>
        <w:ind w:firstLine="236" w:firstLineChars="98"/>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（一）四层货架</w:t>
      </w:r>
    </w:p>
    <w:p w14:paraId="6A0AD7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▲投标时须提供生产商的食品级</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50mm×50mm×1.2mm不锈钢304方管，进行拉伸、中性盐雾、化学成分及迁移物指标检测的检测报告</w:t>
      </w:r>
      <w:r>
        <w:rPr>
          <w:rFonts w:hint="eastAsia" w:ascii="宋体" w:hAnsi="宋体" w:cs="宋体"/>
          <w:i w:val="0"/>
          <w:iCs w:val="0"/>
          <w:color w:val="auto"/>
          <w:kern w:val="0"/>
          <w:sz w:val="24"/>
          <w:szCs w:val="24"/>
          <w:highlight w:val="none"/>
          <w:u w:val="none"/>
          <w:lang w:val="en-US" w:eastAsia="zh-CN" w:bidi="ar"/>
        </w:rPr>
        <w:t>。报告要求： 不锈钢方管拉伸、化学成分测试结果符合 GB/T 3280-2015 中对 304 的限值要求，盐雾测试结果符合标准判定要求，迁移物指标测试结果符合 GB/T 4806.9-2016中相关要求。</w:t>
      </w:r>
    </w:p>
    <w:p w14:paraId="64B1AB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41" w:firstLineChars="100"/>
        <w:textAlignment w:val="auto"/>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（二）不锈钢双眼蔬菜池</w:t>
      </w:r>
    </w:p>
    <w:p w14:paraId="6AD278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▲投标时须提供生产商的不锈钢</w:t>
      </w:r>
      <w:r>
        <w:rPr>
          <w:rFonts w:hint="eastAsia" w:ascii="宋体" w:hAnsi="宋体" w:cs="宋体"/>
          <w:i w:val="0"/>
          <w:iCs w:val="0"/>
          <w:color w:val="auto"/>
          <w:kern w:val="0"/>
          <w:sz w:val="24"/>
          <w:szCs w:val="24"/>
          <w:highlight w:val="none"/>
          <w:u w:val="none"/>
          <w:lang w:val="en-US" w:eastAsia="zh-CN" w:bidi="ar"/>
        </w:rPr>
        <w:t>食品级</w:t>
      </w:r>
      <w:r>
        <w:rPr>
          <w:rFonts w:hint="eastAsia" w:ascii="宋体" w:hAnsi="宋体" w:eastAsia="宋体" w:cs="宋体"/>
          <w:i w:val="0"/>
          <w:iCs w:val="0"/>
          <w:color w:val="auto"/>
          <w:kern w:val="0"/>
          <w:sz w:val="24"/>
          <w:szCs w:val="24"/>
          <w:highlight w:val="none"/>
          <w:u w:val="none"/>
          <w:lang w:val="en-US" w:eastAsia="zh-CN" w:bidi="ar"/>
        </w:rPr>
        <w:t>304材质厚1.2mm板，进行拉伸、中性盐雾、化学成分及迁移物指标检测的检测报告</w:t>
      </w:r>
      <w:r>
        <w:rPr>
          <w:rFonts w:hint="eastAsia" w:ascii="宋体" w:hAnsi="宋体" w:cs="宋体"/>
          <w:i w:val="0"/>
          <w:iCs w:val="0"/>
          <w:color w:val="auto"/>
          <w:kern w:val="0"/>
          <w:sz w:val="24"/>
          <w:szCs w:val="24"/>
          <w:highlight w:val="none"/>
          <w:u w:val="none"/>
          <w:lang w:val="en-US" w:eastAsia="zh-CN" w:bidi="ar"/>
        </w:rPr>
        <w:t>。报告要求：不锈钢板符合拉伸、化学成分测试结果符合 GB/T 3280-2015 中对 304 的限值要求，盐雾测试结果符合标准判定要求，迁移物指标测试结果符合 GB/T 4806.9-2016中相关要求。</w:t>
      </w:r>
    </w:p>
    <w:p w14:paraId="0D5AD74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41" w:firstLineChars="100"/>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cs="宋体"/>
          <w:b/>
          <w:bCs/>
          <w:i w:val="0"/>
          <w:iCs w:val="0"/>
          <w:color w:val="auto"/>
          <w:kern w:val="0"/>
          <w:sz w:val="24"/>
          <w:szCs w:val="24"/>
          <w:highlight w:val="none"/>
          <w:u w:val="none"/>
          <w:lang w:val="en-US" w:eastAsia="zh-CN" w:bidi="ar"/>
        </w:rPr>
        <w:t>三</w:t>
      </w:r>
      <w:r>
        <w:rPr>
          <w:rFonts w:hint="eastAsia" w:ascii="宋体" w:hAnsi="宋体" w:eastAsia="宋体" w:cs="宋体"/>
          <w:b/>
          <w:bCs/>
          <w:i w:val="0"/>
          <w:iCs w:val="0"/>
          <w:color w:val="auto"/>
          <w:kern w:val="0"/>
          <w:sz w:val="24"/>
          <w:szCs w:val="24"/>
          <w:highlight w:val="none"/>
          <w:u w:val="none"/>
          <w:lang w:val="en-US" w:eastAsia="zh-CN" w:bidi="ar"/>
        </w:rPr>
        <w:t>）挂墙开水炉及底座</w:t>
      </w:r>
    </w:p>
    <w:p w14:paraId="0EC85E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▲所投产品具有满足以下技术参数要求：开水器必须符合GB4706-2005《家用和类似用途电器的安全》和GB4706-2014《家用和类似用途电器的安全商用电开水器和液体加热器的特殊要求》</w:t>
      </w:r>
      <w:r>
        <w:rPr>
          <w:rFonts w:hint="eastAsia" w:ascii="宋体" w:hAnsi="宋体" w:cs="宋体"/>
          <w:i w:val="0"/>
          <w:iCs w:val="0"/>
          <w:color w:val="auto"/>
          <w:kern w:val="0"/>
          <w:sz w:val="24"/>
          <w:szCs w:val="24"/>
          <w:highlight w:val="none"/>
          <w:u w:val="none"/>
          <w:lang w:val="en-US" w:eastAsia="zh-CN" w:bidi="ar"/>
        </w:rPr>
        <w:t>的检测标准要求，提供相应检测报告。</w:t>
      </w:r>
    </w:p>
    <w:p w14:paraId="7BE5A5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i w:val="0"/>
          <w:iCs w:val="0"/>
          <w:color w:val="000000"/>
          <w:kern w:val="0"/>
          <w:sz w:val="24"/>
          <w:szCs w:val="24"/>
          <w:highlight w:val="none"/>
          <w:u w:val="none"/>
          <w:lang w:val="en-US" w:eastAsia="zh-CN" w:bidi="ar"/>
        </w:rPr>
        <w:t>（四）</w:t>
      </w:r>
      <w:r>
        <w:rPr>
          <w:rFonts w:hint="eastAsia" w:ascii="宋体" w:hAnsi="宋体" w:eastAsia="宋体" w:cs="宋体"/>
          <w:b/>
          <w:bCs/>
          <w:i w:val="0"/>
          <w:iCs w:val="0"/>
          <w:color w:val="000000"/>
          <w:kern w:val="0"/>
          <w:sz w:val="24"/>
          <w:szCs w:val="24"/>
          <w:highlight w:val="none"/>
          <w:u w:val="none"/>
          <w:lang w:val="en-US" w:eastAsia="zh-CN" w:bidi="ar"/>
        </w:rPr>
        <w:t xml:space="preserve">电磁汤面炉 </w:t>
      </w:r>
    </w:p>
    <w:p w14:paraId="4AF751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▲提供符合:GB4706.35-2008 、GB4706.1-2005检查依据的报告,结果：(1)耐潮湿：器具外壳按器具分类提供相应的防水等级为:1PX4;(2)接地措施：在规定的低电阻试验中，电阻值应不超过 0.02Ω；（3)温升测量实测值：测试角≤8.5K，开关表面≤6.5K,PCB 板≤27.5K;</w:t>
      </w:r>
    </w:p>
    <w:p w14:paraId="15A0CA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▲“商用电磁炉控制板”符合GB/T2423.2-2008、GB/T2423.3-2016检测依据的报告，（1)恒定湿热试验:将样品进行初始检测后入箱，在温度(40.0±2)℃，湿度(90~95)%RH的条件下，储存24h。试验结束室温处理 2h后，检查样品元器件无松动，无变形，无破坏和裂纹，接入整机通电试机功能正常。（2)高温工作试验:将样品安装在整机上，放置在(30.0士2)℃试验箱中，通电连续工作 240小时，试验后，元器件不破坏、无裂纹、能正常通电、各项功能正常；</w:t>
      </w:r>
    </w:p>
    <w:p w14:paraId="64402C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▲提供符合GB4706.35-2008 、GB4706.1-2005产品标准和技术要求的《产品认证证书》；</w:t>
      </w:r>
    </w:p>
    <w:p w14:paraId="6E1F40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▲提供获得GB 4806.1-2016、GB 4806.7-2023、GB 4806.9-2023、GB4806.11-2023产品标准的食品接触产品安全认证证书</w:t>
      </w:r>
      <w:r>
        <w:rPr>
          <w:rFonts w:hint="eastAsia" w:ascii="宋体" w:hAnsi="宋体" w:cs="宋体"/>
          <w:i w:val="0"/>
          <w:iCs w:val="0"/>
          <w:color w:val="000000"/>
          <w:kern w:val="0"/>
          <w:sz w:val="24"/>
          <w:szCs w:val="24"/>
          <w:highlight w:val="none"/>
          <w:u w:val="none"/>
          <w:lang w:val="en-US" w:eastAsia="zh-CN" w:bidi="ar"/>
        </w:rPr>
        <w:t>。</w:t>
      </w:r>
    </w:p>
    <w:p w14:paraId="79021B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80" w:hanging="480" w:hangingChars="200"/>
        <w:jc w:val="both"/>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（投标时提供：①国家认可的第三方检测机构出具的带CMA或CNAS标识的检测报告扫描件，要求报告内容能体现满足上述参数要求</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对应参数在检测报告中标注；②上述有效期内证书在全国认证认可信息公共服务平台（认e云）的查询记录截图）。</w:t>
      </w:r>
    </w:p>
    <w:p w14:paraId="17D5BBDD">
      <w:pPr>
        <w:pStyle w:val="2"/>
        <w:keepNext w:val="0"/>
        <w:numPr>
          <w:ilvl w:val="0"/>
          <w:numId w:val="0"/>
        </w:numPr>
        <w:ind w:leftChars="98"/>
        <w:jc w:val="both"/>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五</w:t>
      </w:r>
      <w:r>
        <w:rPr>
          <w:rFonts w:hint="eastAsia" w:ascii="宋体" w:hAnsi="宋体" w:eastAsia="宋体" w:cs="宋体"/>
          <w:i w:val="0"/>
          <w:iCs w:val="0"/>
          <w:color w:val="000000"/>
          <w:kern w:val="0"/>
          <w:sz w:val="24"/>
          <w:szCs w:val="24"/>
          <w:highlight w:val="none"/>
          <w:u w:val="none"/>
          <w:lang w:val="en-US" w:eastAsia="zh-CN" w:bidi="ar"/>
        </w:rPr>
        <w:t>）电烤箱（两层四盘落地烤箱）</w:t>
      </w:r>
    </w:p>
    <w:p w14:paraId="20DEFD6B">
      <w:pPr>
        <w:numPr>
          <w:ilvl w:val="0"/>
          <w:numId w:val="0"/>
        </w:numPr>
        <w:ind w:firstLine="480" w:firstLineChars="2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▲符合GB4706.1-2005、GB4706.52-2008检测依据的检测报告</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检测结果：(1)烤箱防水等级IPX4；(2)内部布线：内部布线的绝缘应能经受正常使用中可能出现的电气应力，在导线和包裹在绝缘层外面的金属箔之间施加 2000V电压，持续 15min，不应击穿；(3)接地措施；在规定的低电阻试验中，电阻值≤ 0.02Ω；（4)工作温度下的泄漏电流测量:电源中性极--接地部件(基本绝缘)实测值 ≤0.2mA,电源中性极--开关(加强绝缘)实测值 ≤0.009mA；;</w:t>
      </w:r>
    </w:p>
    <w:p w14:paraId="6B5A49A9">
      <w:pPr>
        <w:numPr>
          <w:ilvl w:val="0"/>
          <w:numId w:val="0"/>
        </w:numPr>
        <w:ind w:firstLine="440" w:firstLineChars="2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符合GB/T 10644-2022依据检测，结果：(1)实测值：温升：烤箱正常工作中金属材料手柄升温≤35/K，烤炉外部任一部位≤65/K；(2)烤炉应有独立的限温装置，非正常工作时，焙烤室的温度不超过450℃；(3)符合GB 16798规定要求的材料制造,材料满足防腐蚀，无毒性，无挥发性，无溶解性要求，在工作条件下也不挥发出影响食品的气味； （4)工作温度下的电气强度：烤炉在工作温度下应能承受工频交流试验电压为 1000V的电气强度试验1min，无闪络、击穿现象;</w:t>
      </w:r>
    </w:p>
    <w:p w14:paraId="2644859D">
      <w:pPr>
        <w:numPr>
          <w:ilvl w:val="0"/>
          <w:numId w:val="0"/>
        </w:numPr>
        <w:ind w:firstLine="440" w:firstLineChars="200"/>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提供获得GB 4806.1-2016、GB 4806.7-2023、GB 4806.9-2023、GB4806.11-2023产品标准的食品接触产品安全认证证书；（投标时提供：①国家认可的第三方检测机构出具的带CMA或CNAS标识的检测报告扫描件，要求报告内容能体现满足上述参数要求，对应参数在检测报告中标注；②上述有效期内证书在全国认证认可信息公共服务平台（认e云）的查询记录截图）</w:t>
      </w:r>
      <w:r>
        <w:rPr>
          <w:rFonts w:hint="eastAsia" w:ascii="宋体" w:hAnsi="宋体" w:eastAsia="宋体" w:cs="宋体"/>
          <w:i w:val="0"/>
          <w:iCs w:val="0"/>
          <w:color w:val="auto"/>
          <w:kern w:val="0"/>
          <w:sz w:val="21"/>
          <w:szCs w:val="21"/>
          <w:highlight w:val="none"/>
          <w:u w:val="none"/>
          <w:lang w:val="en-US" w:eastAsia="zh-CN" w:bidi="ar"/>
        </w:rPr>
        <w:t xml:space="preserve"> </w:t>
      </w:r>
    </w:p>
    <w:p w14:paraId="6EA0904E">
      <w:pPr>
        <w:numPr>
          <w:ilvl w:val="0"/>
          <w:numId w:val="0"/>
        </w:numPr>
        <w:ind w:leftChars="98"/>
        <w:rPr>
          <w:rFonts w:hint="eastAsia" w:ascii="宋体" w:hAnsi="宋体" w:eastAsia="宋体" w:cs="宋体"/>
          <w:b/>
          <w:bCs/>
          <w:color w:val="auto"/>
          <w:sz w:val="24"/>
          <w:szCs w:val="24"/>
          <w:highlight w:val="none"/>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cs="宋体"/>
          <w:b/>
          <w:bCs/>
          <w:i w:val="0"/>
          <w:iCs w:val="0"/>
          <w:color w:val="auto"/>
          <w:kern w:val="0"/>
          <w:sz w:val="24"/>
          <w:szCs w:val="24"/>
          <w:highlight w:val="none"/>
          <w:u w:val="none"/>
          <w:lang w:val="en-US" w:eastAsia="zh-CN" w:bidi="ar"/>
        </w:rPr>
        <w:t>六</w:t>
      </w:r>
      <w:r>
        <w:rPr>
          <w:rFonts w:hint="eastAsia" w:ascii="宋体" w:hAnsi="宋体" w:eastAsia="宋体" w:cs="宋体"/>
          <w:b/>
          <w:bCs/>
          <w:i w:val="0"/>
          <w:iCs w:val="0"/>
          <w:color w:val="auto"/>
          <w:kern w:val="0"/>
          <w:sz w:val="24"/>
          <w:szCs w:val="24"/>
          <w:highlight w:val="none"/>
          <w:u w:val="none"/>
          <w:lang w:val="en-US" w:eastAsia="zh-CN" w:bidi="ar"/>
        </w:rPr>
        <w:t>）冷冻冷库</w:t>
      </w:r>
    </w:p>
    <w:p w14:paraId="24D7C420">
      <w:pPr>
        <w:widowControl w:val="0"/>
        <w:numPr>
          <w:ilvl w:val="0"/>
          <w:numId w:val="0"/>
        </w:numPr>
        <w:spacing w:line="360" w:lineRule="auto"/>
        <w:ind w:firstLine="440" w:firstLineChars="200"/>
        <w:jc w:val="both"/>
        <w:rPr>
          <w:rFonts w:hint="eastAsia" w:ascii="等线" w:hAnsi="等线" w:eastAsia="等线" w:cs="等线"/>
          <w:i w:val="0"/>
          <w:iCs w:val="0"/>
          <w:color w:val="auto"/>
          <w:kern w:val="0"/>
          <w:sz w:val="24"/>
          <w:szCs w:val="24"/>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投标时需提供冷库厂家第三方检测机构出具的检测报告。库板金属材料符合 GB 4806.1-2016《食品安全国家标准食品接触材料及制品通用安全要求》及 GB 4806.9-2016《食品安全国家标准 食品接触用金属材料及制品》的要求。</w:t>
      </w:r>
    </w:p>
    <w:p w14:paraId="2E13BB35">
      <w:pPr>
        <w:widowControl w:val="0"/>
        <w:numPr>
          <w:ilvl w:val="0"/>
          <w:numId w:val="0"/>
        </w:numPr>
        <w:spacing w:line="360" w:lineRule="auto"/>
        <w:ind w:firstLine="480" w:firstLineChars="20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4"/>
          <w:szCs w:val="24"/>
          <w:highlight w:val="none"/>
          <w:u w:val="none"/>
          <w:lang w:val="en-US" w:eastAsia="zh-CN" w:bidi="ar"/>
        </w:rPr>
        <w:t>2、▲投标时需提供冷库厂家防火性能第三方检测机构出具的检测报告。防火性能符合 GB8624-2012《建筑材料及制品燃烧性能分级》B2认证及 SGS 组合冷库用隔热夹芯板：燃烧等级：B，烟生成等级：s2;燃烧熔滴等级：d0标准。</w:t>
      </w:r>
    </w:p>
    <w:p w14:paraId="599F2D22">
      <w:pPr>
        <w:widowControl w:val="0"/>
        <w:numPr>
          <w:ilvl w:val="0"/>
          <w:numId w:val="0"/>
        </w:numPr>
        <w:spacing w:line="360" w:lineRule="auto"/>
        <w:ind w:firstLine="480" w:firstLineChars="200"/>
        <w:jc w:val="both"/>
        <w:rPr>
          <w:rFonts w:hint="eastAsia" w:ascii="宋体" w:hAnsi="宋体" w:cs="宋体"/>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投标时需提供冷库厂家符合国家规定的《职业健康安全管理体系认证证书》</w:t>
      </w:r>
      <w:r>
        <w:rPr>
          <w:rFonts w:hint="eastAsia" w:ascii="宋体" w:hAnsi="宋体" w:cs="宋体"/>
          <w:i w:val="0"/>
          <w:iCs w:val="0"/>
          <w:color w:val="auto"/>
          <w:kern w:val="0"/>
          <w:sz w:val="22"/>
          <w:szCs w:val="22"/>
          <w:highlight w:val="none"/>
          <w:u w:val="none"/>
          <w:lang w:val="en-US" w:eastAsia="zh-CN" w:bidi="ar"/>
        </w:rPr>
        <w:t>。</w:t>
      </w:r>
    </w:p>
    <w:p w14:paraId="053EE1A8">
      <w:pPr>
        <w:widowControl w:val="0"/>
        <w:numPr>
          <w:ilvl w:val="0"/>
          <w:numId w:val="0"/>
        </w:numPr>
        <w:spacing w:line="360" w:lineRule="auto"/>
        <w:ind w:firstLine="480" w:firstLineChars="200"/>
        <w:jc w:val="both"/>
        <w:rPr>
          <w:rFonts w:hint="default" w:ascii="等线" w:hAnsi="等线" w:eastAsia="等线" w:cs="等线"/>
          <w:i w:val="0"/>
          <w:iCs w:val="0"/>
          <w:color w:val="auto"/>
          <w:kern w:val="0"/>
          <w:sz w:val="24"/>
          <w:szCs w:val="24"/>
          <w:highlight w:val="none"/>
          <w:u w:val="none"/>
          <w:lang w:val="en-US" w:eastAsia="zh-CN" w:bidi="ar"/>
        </w:rPr>
      </w:pPr>
      <w:r>
        <w:rPr>
          <w:rFonts w:hint="eastAsia" w:ascii="等线" w:hAnsi="等线" w:eastAsia="等线" w:cs="等线"/>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投标时需提供冷库厂家符合国家规定的《质量管理体系认证证书》。</w:t>
      </w:r>
    </w:p>
    <w:p w14:paraId="11DDC1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新宋体" w:hAnsi="新宋体" w:eastAsia="新宋体"/>
          <w:b/>
          <w:color w:val="auto"/>
          <w:sz w:val="24"/>
          <w:szCs w:val="24"/>
          <w:highlight w:val="none"/>
        </w:rPr>
      </w:pPr>
      <w:r>
        <w:rPr>
          <w:rFonts w:hint="eastAsia" w:ascii="新宋体" w:hAnsi="新宋体" w:eastAsia="新宋体"/>
          <w:b/>
          <w:color w:val="auto"/>
          <w:sz w:val="24"/>
          <w:szCs w:val="24"/>
          <w:highlight w:val="none"/>
          <w:lang w:val="en-US" w:eastAsia="zh-CN"/>
        </w:rPr>
        <w:t>三</w:t>
      </w:r>
      <w:r>
        <w:rPr>
          <w:rFonts w:hint="eastAsia" w:ascii="新宋体" w:hAnsi="新宋体" w:eastAsia="新宋体"/>
          <w:b/>
          <w:color w:val="auto"/>
          <w:sz w:val="24"/>
          <w:szCs w:val="24"/>
          <w:highlight w:val="none"/>
        </w:rPr>
        <w:t>、供货时间</w:t>
      </w:r>
      <w:r>
        <w:rPr>
          <w:rFonts w:hint="eastAsia" w:ascii="新宋体" w:hAnsi="新宋体" w:eastAsia="新宋体"/>
          <w:b/>
          <w:color w:val="auto"/>
          <w:sz w:val="24"/>
          <w:szCs w:val="24"/>
          <w:highlight w:val="none"/>
          <w:lang w:eastAsia="zh-CN"/>
        </w:rPr>
        <w:t>、</w:t>
      </w:r>
      <w:r>
        <w:rPr>
          <w:rFonts w:hint="eastAsia" w:ascii="新宋体" w:hAnsi="新宋体" w:eastAsia="新宋体"/>
          <w:b/>
          <w:color w:val="auto"/>
          <w:sz w:val="24"/>
          <w:szCs w:val="24"/>
          <w:highlight w:val="none"/>
          <w:lang w:val="en-US" w:eastAsia="zh-CN"/>
        </w:rPr>
        <w:t>地点</w:t>
      </w:r>
      <w:r>
        <w:rPr>
          <w:rFonts w:hint="eastAsia" w:ascii="新宋体" w:hAnsi="新宋体" w:eastAsia="新宋体"/>
          <w:b/>
          <w:color w:val="auto"/>
          <w:sz w:val="24"/>
          <w:szCs w:val="24"/>
          <w:highlight w:val="none"/>
        </w:rPr>
        <w:t>等</w:t>
      </w:r>
    </w:p>
    <w:p w14:paraId="61DC7B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w:t>
      </w:r>
      <w:r>
        <w:rPr>
          <w:rFonts w:hint="eastAsia" w:ascii="宋体" w:hAnsi="宋体" w:cs="宋体"/>
          <w:color w:val="auto"/>
          <w:highlight w:val="none"/>
          <w:lang w:val="en-US" w:eastAsia="zh-CN"/>
        </w:rPr>
        <w:t>供货</w:t>
      </w:r>
      <w:r>
        <w:rPr>
          <w:rFonts w:hint="eastAsia" w:ascii="宋体" w:hAnsi="宋体" w:eastAsia="宋体" w:cs="宋体"/>
          <w:color w:val="auto"/>
          <w:highlight w:val="none"/>
        </w:rPr>
        <w:t>期限：</w:t>
      </w:r>
      <w:r>
        <w:rPr>
          <w:rFonts w:hint="eastAsia" w:ascii="宋体" w:hAnsi="宋体" w:eastAsia="宋体" w:cs="宋体"/>
          <w:color w:val="auto"/>
          <w:kern w:val="2"/>
          <w:sz w:val="24"/>
          <w:szCs w:val="24"/>
          <w:highlight w:val="none"/>
          <w:lang w:val="en-US" w:eastAsia="zh-CN" w:bidi="ar-SA"/>
        </w:rPr>
        <w:t>自合同签订之日起</w:t>
      </w:r>
      <w:r>
        <w:rPr>
          <w:rFonts w:hint="eastAsia" w:ascii="宋体" w:hAnsi="宋体" w:cs="宋体"/>
          <w:color w:val="auto"/>
          <w:kern w:val="2"/>
          <w:sz w:val="24"/>
          <w:szCs w:val="24"/>
          <w:highlight w:val="none"/>
          <w:lang w:val="en-US" w:eastAsia="zh-CN" w:bidi="ar-SA"/>
        </w:rPr>
        <w:t>15</w:t>
      </w:r>
      <w:r>
        <w:rPr>
          <w:rFonts w:hint="eastAsia" w:ascii="宋体" w:hAnsi="宋体" w:eastAsia="宋体" w:cs="宋体"/>
          <w:color w:val="auto"/>
          <w:kern w:val="2"/>
          <w:sz w:val="24"/>
          <w:szCs w:val="24"/>
          <w:highlight w:val="none"/>
          <w:lang w:val="en-US" w:eastAsia="zh-CN" w:bidi="ar-SA"/>
        </w:rPr>
        <w:t>个日历天内，完成所有厨房设备的生产、供货、安装并调试后，一次性通过验收并验收合格</w:t>
      </w:r>
      <w:r>
        <w:rPr>
          <w:rFonts w:hint="eastAsia" w:ascii="宋体" w:hAnsi="宋体"/>
          <w:color w:val="auto"/>
          <w:sz w:val="24"/>
          <w:szCs w:val="24"/>
          <w:highlight w:val="none"/>
          <w:lang w:val="en-US" w:eastAsia="zh-CN"/>
        </w:rPr>
        <w:t>。</w:t>
      </w:r>
    </w:p>
    <w:p w14:paraId="48AD6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供货地点：采购人指定地点；</w:t>
      </w:r>
    </w:p>
    <w:p w14:paraId="45FA1E32">
      <w:pPr>
        <w:pStyle w:val="455"/>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.以上所有货物质保期≥</w:t>
      </w:r>
      <w:r>
        <w:rPr>
          <w:rFonts w:hint="eastAsia" w:ascii="宋体" w:hAnsi="宋体" w:cs="Times New Roman"/>
          <w:color w:val="auto"/>
          <w:kern w:val="2"/>
          <w:sz w:val="24"/>
          <w:szCs w:val="24"/>
          <w:highlight w:val="none"/>
          <w:lang w:val="en-US" w:eastAsia="zh-CN" w:bidi="ar-SA"/>
        </w:rPr>
        <w:t>1</w:t>
      </w:r>
      <w:r>
        <w:rPr>
          <w:rFonts w:hint="eastAsia" w:ascii="宋体" w:hAnsi="宋体" w:eastAsia="宋体" w:cs="Times New Roman"/>
          <w:color w:val="auto"/>
          <w:kern w:val="2"/>
          <w:sz w:val="24"/>
          <w:szCs w:val="24"/>
          <w:highlight w:val="none"/>
          <w:lang w:val="en-US" w:eastAsia="zh-CN" w:bidi="ar-SA"/>
        </w:rPr>
        <w:t>年，若国家、厂商、行业有更优标准，按国家、厂商、行业的最优标准执行。质保期从取得验收合格之日起计算。</w:t>
      </w:r>
    </w:p>
    <w:p w14:paraId="6AF120C8">
      <w:pPr>
        <w:keepNext w:val="0"/>
        <w:keepLines w:val="0"/>
        <w:pageBreakBefore w:val="0"/>
        <w:widowControl w:val="0"/>
        <w:tabs>
          <w:tab w:val="left" w:pos="1080"/>
          <w:tab w:val="left" w:pos="1260"/>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、质量要求及付款方式：</w:t>
      </w:r>
    </w:p>
    <w:p w14:paraId="193A78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1.质量要求：</w:t>
      </w:r>
      <w:r>
        <w:rPr>
          <w:rFonts w:hint="eastAsia" w:ascii="宋体" w:hAnsi="宋体" w:eastAsia="宋体" w:cs="宋体"/>
          <w:color w:val="auto"/>
          <w:kern w:val="0"/>
          <w:sz w:val="24"/>
          <w:szCs w:val="24"/>
          <w:highlight w:val="none"/>
          <w:lang w:val="en-US" w:eastAsia="zh-CN"/>
        </w:rPr>
        <w:t>供应商所供货物必须为正规厂家生产，质量符合国家和行业标准要求。</w:t>
      </w:r>
      <w:r>
        <w:rPr>
          <w:rFonts w:hint="eastAsia" w:ascii="宋体" w:hAnsi="宋体" w:cs="宋体"/>
          <w:b/>
          <w:bCs/>
          <w:color w:val="auto"/>
          <w:kern w:val="2"/>
          <w:sz w:val="24"/>
          <w:szCs w:val="22"/>
          <w:highlight w:val="none"/>
          <w:lang w:val="en-US" w:eastAsia="zh-CN" w:bidi="ar-SA"/>
        </w:rPr>
        <w:t>如果供应商提供货物的质量、参考规格、数量、品牌、技术参数等与采购文件不符，采购人有权拒收，一切损失由供货商自负。</w:t>
      </w:r>
    </w:p>
    <w:p w14:paraId="7C056E6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i w:val="0"/>
          <w:caps w:val="0"/>
          <w:color w:val="auto"/>
          <w:spacing w:val="0"/>
          <w:w w:val="10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2.付款：</w:t>
      </w:r>
      <w:r>
        <w:rPr>
          <w:rFonts w:hint="eastAsia" w:ascii="宋体" w:hAnsi="宋体" w:eastAsia="宋体" w:cs="宋体"/>
          <w:b/>
          <w:bCs/>
          <w:color w:val="auto"/>
          <w:kern w:val="0"/>
          <w:sz w:val="24"/>
          <w:szCs w:val="24"/>
          <w:highlight w:val="none"/>
          <w:lang w:val="zh-CN" w:eastAsia="zh-CN"/>
        </w:rPr>
        <w:t>合同签订、所有货物</w:t>
      </w:r>
      <w:r>
        <w:rPr>
          <w:rFonts w:hint="eastAsia" w:ascii="宋体" w:hAnsi="宋体" w:eastAsia="宋体" w:cs="宋体"/>
          <w:b/>
          <w:bCs/>
          <w:color w:val="auto"/>
          <w:kern w:val="0"/>
          <w:sz w:val="24"/>
          <w:szCs w:val="24"/>
          <w:highlight w:val="none"/>
          <w:lang w:val="en-US" w:eastAsia="zh-CN"/>
        </w:rPr>
        <w:t>供货完成并</w:t>
      </w:r>
      <w:r>
        <w:rPr>
          <w:rFonts w:hint="eastAsia" w:ascii="宋体" w:hAnsi="宋体" w:eastAsia="宋体" w:cs="宋体"/>
          <w:b/>
          <w:bCs/>
          <w:color w:val="auto"/>
          <w:kern w:val="0"/>
          <w:sz w:val="24"/>
          <w:szCs w:val="24"/>
          <w:highlight w:val="none"/>
          <w:lang w:val="zh-CN" w:eastAsia="zh-CN"/>
        </w:rPr>
        <w:t>安装结束验收合格后付至合同总金额的</w:t>
      </w:r>
      <w:r>
        <w:rPr>
          <w:rFonts w:hint="eastAsia" w:ascii="宋体" w:hAnsi="宋体" w:cs="宋体"/>
          <w:b/>
          <w:bCs/>
          <w:color w:val="auto"/>
          <w:kern w:val="0"/>
          <w:sz w:val="24"/>
          <w:szCs w:val="24"/>
          <w:highlight w:val="none"/>
          <w:lang w:val="en-US" w:eastAsia="zh-CN"/>
        </w:rPr>
        <w:t>70%</w:t>
      </w: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bCs/>
          <w:color w:val="auto"/>
          <w:kern w:val="0"/>
          <w:sz w:val="24"/>
          <w:szCs w:val="24"/>
          <w:highlight w:val="none"/>
          <w:lang w:val="en-US" w:eastAsia="zh-CN"/>
        </w:rPr>
        <w:t>审计结束后支付至审计价的95%，</w:t>
      </w:r>
      <w:r>
        <w:rPr>
          <w:rFonts w:hint="eastAsia" w:ascii="宋体" w:hAnsi="宋体" w:eastAsia="宋体" w:cs="宋体"/>
          <w:b/>
          <w:bCs/>
          <w:color w:val="auto"/>
          <w:kern w:val="0"/>
          <w:sz w:val="24"/>
          <w:szCs w:val="24"/>
          <w:highlight w:val="none"/>
          <w:lang w:val="zh-CN" w:eastAsia="zh-CN"/>
        </w:rPr>
        <w:t>余款待质保期满后付清。</w:t>
      </w:r>
      <w:r>
        <w:rPr>
          <w:rFonts w:hint="eastAsia" w:ascii="宋体" w:hAnsi="宋体" w:eastAsia="宋体" w:cs="宋体"/>
          <w:b w:val="0"/>
          <w:bCs w:val="0"/>
          <w:i w:val="0"/>
          <w:caps w:val="0"/>
          <w:color w:val="auto"/>
          <w:spacing w:val="0"/>
          <w:w w:val="100"/>
          <w:sz w:val="24"/>
          <w:szCs w:val="24"/>
          <w:highlight w:val="none"/>
          <w:lang w:val="en-US" w:eastAsia="zh-CN"/>
        </w:rPr>
        <w:t>甲方付款前乙方需按甲方要求提供足额的增值税发票。</w:t>
      </w:r>
    </w:p>
    <w:p w14:paraId="1C2823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注：成交供应商凭采购合同、验收单（经验收合格）及</w:t>
      </w:r>
      <w:r>
        <w:rPr>
          <w:rFonts w:hint="eastAsia" w:ascii="宋体" w:hAnsi="宋体" w:cs="宋体"/>
          <w:color w:val="auto"/>
          <w:kern w:val="0"/>
          <w:sz w:val="24"/>
          <w:szCs w:val="24"/>
          <w:highlight w:val="none"/>
          <w:lang w:val="en-US" w:eastAsia="zh-CN"/>
        </w:rPr>
        <w:t>正规</w:t>
      </w:r>
      <w:r>
        <w:rPr>
          <w:rFonts w:hint="eastAsia" w:ascii="宋体" w:hAnsi="宋体" w:cs="宋体"/>
          <w:color w:val="auto"/>
          <w:kern w:val="0"/>
          <w:sz w:val="24"/>
          <w:szCs w:val="24"/>
          <w:highlight w:val="none"/>
        </w:rPr>
        <w:t>发票等按规定进行资金结算</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 xml:space="preserve"> </w:t>
      </w:r>
    </w:p>
    <w:p w14:paraId="05CFE6D1">
      <w:pPr>
        <w:pageBreakBefore w:val="0"/>
        <w:widowControl w:val="0"/>
        <w:tabs>
          <w:tab w:val="left" w:pos="1080"/>
          <w:tab w:val="left" w:pos="1260"/>
        </w:tabs>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cs="宋体"/>
          <w:b/>
          <w:color w:val="auto"/>
          <w:sz w:val="24"/>
          <w:szCs w:val="24"/>
          <w:highlight w:val="none"/>
        </w:rPr>
      </w:pPr>
      <w:r>
        <w:rPr>
          <w:rFonts w:hint="eastAsia" w:ascii="宋体" w:hAnsi="宋体" w:cs="宋体"/>
          <w:color w:val="auto"/>
          <w:kern w:val="0"/>
          <w:sz w:val="24"/>
          <w:highlight w:val="none"/>
          <w:lang w:val="en-US" w:eastAsia="zh-CN"/>
        </w:rPr>
        <w:t>五</w:t>
      </w:r>
      <w:r>
        <w:rPr>
          <w:rFonts w:hint="eastAsia" w:ascii="宋体" w:hAnsi="宋体" w:cs="宋体"/>
          <w:b/>
          <w:color w:val="auto"/>
          <w:sz w:val="24"/>
          <w:szCs w:val="24"/>
          <w:highlight w:val="none"/>
        </w:rPr>
        <w:t>、报价方式</w:t>
      </w:r>
    </w:p>
    <w:p w14:paraId="0CBC612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bCs/>
          <w:color w:val="auto"/>
          <w:sz w:val="24"/>
          <w:highlight w:val="none"/>
          <w:lang w:eastAsia="zh-CN"/>
        </w:rPr>
      </w:pPr>
      <w:r>
        <w:rPr>
          <w:rFonts w:hint="eastAsia" w:ascii="宋体" w:hAnsi="宋体"/>
          <w:b/>
          <w:color w:val="auto"/>
          <w:sz w:val="24"/>
          <w:szCs w:val="22"/>
          <w:highlight w:val="none"/>
        </w:rPr>
        <w:t>本项目采用固定</w:t>
      </w:r>
      <w:r>
        <w:rPr>
          <w:rFonts w:hint="eastAsia" w:ascii="宋体" w:hAnsi="宋体"/>
          <w:b/>
          <w:color w:val="auto"/>
          <w:sz w:val="24"/>
          <w:szCs w:val="22"/>
          <w:highlight w:val="none"/>
          <w:lang w:val="en-US" w:eastAsia="zh-CN"/>
        </w:rPr>
        <w:t>单价</w:t>
      </w:r>
      <w:r>
        <w:rPr>
          <w:rFonts w:hint="eastAsia" w:ascii="宋体" w:hAnsi="宋体"/>
          <w:b/>
          <w:color w:val="auto"/>
          <w:sz w:val="24"/>
          <w:szCs w:val="22"/>
          <w:highlight w:val="none"/>
        </w:rPr>
        <w:t>方式结算，</w:t>
      </w:r>
      <w:r>
        <w:rPr>
          <w:rFonts w:hint="eastAsia" w:ascii="宋体" w:hAnsi="宋体" w:cs="宋体"/>
          <w:b/>
          <w:bCs/>
          <w:color w:val="auto"/>
          <w:sz w:val="24"/>
          <w:highlight w:val="none"/>
        </w:rPr>
        <w:t>投标单位应结合市场行情及自身实际情况进行报价</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并将项目相关的全部费用考虑到自己的投标报价中，否则由此引起的误投、错投风险及相应的损失须投标单位自行承担。供应商</w:t>
      </w:r>
      <w:r>
        <w:rPr>
          <w:rFonts w:hint="eastAsia" w:ascii="宋体" w:hAnsi="宋体" w:cs="宋体"/>
          <w:b/>
          <w:bCs/>
          <w:color w:val="auto"/>
          <w:sz w:val="24"/>
          <w:highlight w:val="none"/>
          <w:lang w:val="en-US" w:eastAsia="zh-CN"/>
        </w:rPr>
        <w:t>报价</w:t>
      </w:r>
      <w:r>
        <w:rPr>
          <w:rFonts w:hint="eastAsia" w:ascii="宋体" w:hAnsi="宋体" w:cs="宋体"/>
          <w:b/>
          <w:bCs/>
          <w:color w:val="auto"/>
          <w:sz w:val="24"/>
          <w:highlight w:val="none"/>
        </w:rPr>
        <w:t>在合同履行期间不因市场变化因素而变动。本项目最终结算时，按实际送货量进行结算。</w:t>
      </w:r>
      <w:r>
        <w:rPr>
          <w:rFonts w:hint="eastAsia" w:ascii="宋体" w:hAnsi="宋体" w:cs="宋体"/>
          <w:b/>
          <w:bCs/>
          <w:color w:val="auto"/>
          <w:sz w:val="24"/>
          <w:highlight w:val="none"/>
          <w:lang w:val="en-US" w:eastAsia="zh-CN"/>
        </w:rPr>
        <w:t xml:space="preserve"> </w:t>
      </w:r>
    </w:p>
    <w:p w14:paraId="2CE6758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84" w:leftChars="0" w:firstLine="480" w:firstLineChars="0"/>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cs="宋体"/>
          <w:b w:val="0"/>
          <w:bCs w:val="0"/>
          <w:color w:val="auto"/>
          <w:kern w:val="1"/>
          <w:sz w:val="24"/>
          <w:szCs w:val="24"/>
          <w:highlight w:val="none"/>
          <w:lang w:val="en-US" w:eastAsia="zh-CN" w:bidi="ar-SA"/>
        </w:rPr>
        <w:t>六</w:t>
      </w:r>
      <w:r>
        <w:rPr>
          <w:rFonts w:hint="eastAsia" w:ascii="宋体" w:hAnsi="宋体" w:eastAsia="宋体" w:cs="宋体"/>
          <w:b w:val="0"/>
          <w:bCs w:val="0"/>
          <w:color w:val="auto"/>
          <w:kern w:val="1"/>
          <w:sz w:val="24"/>
          <w:szCs w:val="24"/>
          <w:highlight w:val="none"/>
          <w:lang w:val="en-US" w:eastAsia="zh-CN" w:bidi="ar-SA"/>
        </w:rPr>
        <w:t>、其他</w:t>
      </w:r>
    </w:p>
    <w:p w14:paraId="4C97AD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1、成交供应商不得以任何原因和方式将合同转包、分包或雇用其他作业人员进行生产。一经发现有上述情况的，将按违约处理，采购人有权拒付合同额。</w:t>
      </w:r>
    </w:p>
    <w:p w14:paraId="339059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2、成交供应商在履行合同过程中，一切事故其责任由成交供应商承担，采购人不承担任何责任。</w:t>
      </w:r>
    </w:p>
    <w:p w14:paraId="499350E2">
      <w:pPr>
        <w:pStyle w:val="2"/>
        <w:keepNext w:val="0"/>
        <w:jc w:val="both"/>
        <w:rPr>
          <w:rFonts w:hint="eastAsia" w:ascii="宋体" w:hAnsi="宋体" w:cs="宋体"/>
          <w:color w:val="auto"/>
          <w:sz w:val="40"/>
          <w:highlight w:val="none"/>
          <w:lang w:val="en-US" w:eastAsia="zh-CN"/>
        </w:rPr>
        <w:sectPr>
          <w:pgSz w:w="16838" w:h="11907" w:orient="landscape"/>
          <w:pgMar w:top="1278" w:right="1418" w:bottom="1129" w:left="1418" w:header="851" w:footer="992" w:gutter="0"/>
          <w:pgNumType w:fmt="decimal"/>
          <w:cols w:space="720" w:num="1"/>
          <w:titlePg/>
          <w:docGrid w:linePitch="318" w:charSpace="0"/>
        </w:sectPr>
      </w:pPr>
    </w:p>
    <w:p w14:paraId="67F9E817">
      <w:pPr>
        <w:pStyle w:val="2"/>
        <w:keepNext w:val="0"/>
        <w:jc w:val="center"/>
        <w:rPr>
          <w:rFonts w:ascii="宋体" w:hAnsi="宋体" w:cs="宋体"/>
          <w:color w:val="auto"/>
          <w:sz w:val="40"/>
          <w:highlight w:val="none"/>
        </w:rPr>
      </w:pPr>
      <w:r>
        <w:rPr>
          <w:rFonts w:hint="eastAsia" w:ascii="宋体" w:hAnsi="宋体" w:cs="宋体"/>
          <w:color w:val="auto"/>
          <w:sz w:val="40"/>
          <w:highlight w:val="none"/>
        </w:rPr>
        <w:t>第四章  评标方法与评标标准</w:t>
      </w:r>
      <w:bookmarkEnd w:id="71"/>
      <w:bookmarkEnd w:id="72"/>
    </w:p>
    <w:p w14:paraId="7949989D">
      <w:pPr>
        <w:ind w:firstLine="0" w:firstLineChars="0"/>
        <w:rPr>
          <w:rFonts w:ascii="宋体" w:hAnsi="宋体" w:cs="宋体"/>
          <w:b/>
          <w:bCs/>
          <w:color w:val="auto"/>
          <w:highlight w:val="none"/>
        </w:rPr>
      </w:pPr>
      <w:r>
        <w:rPr>
          <w:rFonts w:hint="eastAsia" w:ascii="宋体" w:hAnsi="宋体" w:cs="宋体"/>
          <w:b/>
          <w:bCs/>
          <w:color w:val="auto"/>
          <w:highlight w:val="none"/>
        </w:rPr>
        <w:t>一、评标方法与定标原则</w:t>
      </w:r>
    </w:p>
    <w:p w14:paraId="1770AC35">
      <w:pPr>
        <w:rPr>
          <w:rFonts w:ascii="宋体" w:hAnsi="宋体" w:cs="宋体"/>
          <w:color w:val="auto"/>
          <w:highlight w:val="none"/>
        </w:rPr>
      </w:pPr>
      <w:r>
        <w:rPr>
          <w:rFonts w:hint="eastAsia" w:ascii="宋体" w:hAnsi="宋体" w:cs="宋体"/>
          <w:color w:val="auto"/>
          <w:highlight w:val="none"/>
        </w:rPr>
        <w:t>1.经磋商确定最终采购需求和提交最后报价的供应商后，由磋商小组采用综合评分法对提交最后报价的供应商的响应文件和最后报价进行综合评分。</w:t>
      </w:r>
    </w:p>
    <w:p w14:paraId="588B39C1">
      <w:pPr>
        <w:rPr>
          <w:rFonts w:ascii="宋体" w:hAnsi="宋体" w:cs="宋体"/>
          <w:color w:val="auto"/>
          <w:highlight w:val="none"/>
        </w:rPr>
      </w:pPr>
      <w:r>
        <w:rPr>
          <w:rFonts w:hint="eastAsia" w:ascii="宋体" w:hAnsi="宋体" w:cs="宋体"/>
          <w:color w:val="auto"/>
          <w:highlight w:val="none"/>
        </w:rPr>
        <w:t>综合评分法，是指响应文件满足磋商文件全部实质性要求且按评审因素的量化指标评审得分最高的供应商为成交候选供应商的评审方法。按评审后各评委打分算数和的平均得分由高到低的顺序，</w:t>
      </w:r>
      <w:r>
        <w:rPr>
          <w:rFonts w:hint="eastAsia" w:ascii="宋体" w:hAnsi="宋体" w:cs="宋体"/>
          <w:b/>
          <w:bCs/>
          <w:color w:val="auto"/>
          <w:highlight w:val="none"/>
          <w:lang w:val="en-US" w:eastAsia="zh-CN"/>
        </w:rPr>
        <w:t>确定成交供应商</w:t>
      </w:r>
      <w:r>
        <w:rPr>
          <w:rFonts w:hint="eastAsia" w:ascii="宋体" w:hAnsi="宋体" w:cs="宋体"/>
          <w:color w:val="auto"/>
          <w:highlight w:val="none"/>
        </w:rPr>
        <w:t>。得分相同的，按最后报价由低到高顺序排列。得分且最后报价相同的，按技术方案的得分优劣顺序排列。</w:t>
      </w:r>
    </w:p>
    <w:p w14:paraId="049E762F">
      <w:pPr>
        <w:rPr>
          <w:rFonts w:ascii="宋体" w:hAnsi="宋体" w:cs="宋体"/>
          <w:color w:val="auto"/>
          <w:highlight w:val="none"/>
        </w:rPr>
      </w:pPr>
      <w:r>
        <w:rPr>
          <w:rFonts w:hint="eastAsia" w:ascii="宋体" w:hAnsi="宋体" w:cs="宋体"/>
          <w:color w:val="auto"/>
          <w:highlight w:val="none"/>
        </w:rPr>
        <w:t>2.评分过程中采用“四舍五入”法，并保留小数2位。</w:t>
      </w:r>
    </w:p>
    <w:p w14:paraId="4E289B0D">
      <w:pPr>
        <w:rPr>
          <w:rFonts w:ascii="宋体" w:hAnsi="宋体" w:cs="宋体"/>
          <w:color w:val="auto"/>
          <w:highlight w:val="none"/>
        </w:rPr>
      </w:pPr>
      <w:r>
        <w:rPr>
          <w:rFonts w:hint="eastAsia" w:ascii="宋体" w:hAnsi="宋体" w:cs="宋体"/>
          <w:color w:val="auto"/>
          <w:highlight w:val="none"/>
        </w:rPr>
        <w:t>3.磋商小组会认为，排在前面的成交候选人的最低投标报价或者某些分项报价明显不合理或者低于成本，有可能影响项目质量和不能诚信履约的，应当要求其在规定期限内提供书面文件予以解释说明，并提交相关证明材料；否则，磋商小组会可以取消该供应商的成交候选资格，按顺序由排在后面的中标候选人递补，以此类推。</w:t>
      </w:r>
    </w:p>
    <w:p w14:paraId="06D1217C">
      <w:pPr>
        <w:rPr>
          <w:rFonts w:ascii="宋体" w:hAnsi="宋体" w:cs="宋体"/>
          <w:b/>
          <w:bCs/>
          <w:color w:val="auto"/>
          <w:highlight w:val="none"/>
        </w:rPr>
      </w:pPr>
      <w:r>
        <w:rPr>
          <w:rFonts w:hint="eastAsia" w:ascii="宋体" w:hAnsi="宋体" w:cs="宋体"/>
          <w:color w:val="auto"/>
          <w:highlight w:val="none"/>
        </w:rPr>
        <w:t>4.采购人根据磋商小组推荐的成交候选人排名顺序依次规定确定成交人，成交候选人有涉及对标书实证性内容的隐瞒、欺诈或违法违规行为，将被取消成交资格。</w:t>
      </w:r>
    </w:p>
    <w:p w14:paraId="1FFE4AC5">
      <w:pPr>
        <w:ind w:firstLine="0" w:firstLineChars="0"/>
        <w:rPr>
          <w:rFonts w:ascii="宋体" w:hAnsi="宋体" w:cs="宋体"/>
          <w:b/>
          <w:bCs/>
          <w:color w:val="auto"/>
          <w:highlight w:val="none"/>
        </w:rPr>
      </w:pPr>
      <w:r>
        <w:rPr>
          <w:rFonts w:hint="eastAsia" w:ascii="宋体" w:hAnsi="宋体" w:cs="宋体"/>
          <w:b/>
          <w:bCs/>
          <w:color w:val="auto"/>
          <w:highlight w:val="none"/>
        </w:rPr>
        <w:t xml:space="preserve">二、评标标准 </w:t>
      </w:r>
    </w:p>
    <w:p w14:paraId="0B10177E">
      <w:pPr>
        <w:ind w:firstLine="482"/>
        <w:rPr>
          <w:rFonts w:ascii="宋体" w:hAnsi="宋体" w:cs="宋体"/>
          <w:b/>
          <w:bCs/>
          <w:color w:val="auto"/>
          <w:highlight w:val="none"/>
        </w:rPr>
      </w:pPr>
      <w:r>
        <w:rPr>
          <w:rFonts w:hint="eastAsia" w:ascii="宋体" w:hAnsi="宋体" w:cs="宋体"/>
          <w:b/>
          <w:bCs/>
          <w:color w:val="auto"/>
          <w:highlight w:val="none"/>
        </w:rPr>
        <w:t>1.本项目采用综合评分法，满分为100分。</w:t>
      </w:r>
    </w:p>
    <w:p w14:paraId="3F275059">
      <w:pPr>
        <w:keepNext w:val="0"/>
        <w:keepLines w:val="0"/>
        <w:pageBreakBefore w:val="0"/>
        <w:widowControl w:val="0"/>
        <w:kinsoku/>
        <w:wordWrap/>
        <w:overflowPunct/>
        <w:topLinePunct w:val="0"/>
        <w:autoSpaceDE w:val="0"/>
        <w:autoSpaceDN w:val="0"/>
        <w:bidi w:val="0"/>
        <w:adjustRightInd w:val="0"/>
        <w:snapToGrid w:val="0"/>
        <w:spacing w:line="400" w:lineRule="exact"/>
        <w:ind w:firstLine="560"/>
        <w:textAlignment w:val="auto"/>
        <w:rPr>
          <w:rFonts w:ascii="宋体" w:hAnsi="宋体"/>
          <w:sz w:val="28"/>
          <w:szCs w:val="28"/>
          <w:highlight w:val="none"/>
        </w:rPr>
      </w:pPr>
      <w:r>
        <w:rPr>
          <w:rFonts w:hint="eastAsia" w:ascii="宋体" w:hAnsi="宋体" w:cs="宋体"/>
          <w:b/>
          <w:bCs/>
          <w:color w:val="auto"/>
          <w:highlight w:val="none"/>
        </w:rPr>
        <w:t>2.</w:t>
      </w:r>
      <w:r>
        <w:rPr>
          <w:rFonts w:hint="eastAsia" w:ascii="宋体" w:hAnsi="宋体" w:cs="宋体"/>
          <w:b/>
          <w:bCs/>
          <w:color w:val="auto"/>
          <w:highlight w:val="none"/>
          <w:lang w:val="en-US" w:eastAsia="zh-CN"/>
        </w:rPr>
        <w:t xml:space="preserve"> </w:t>
      </w:r>
      <w:r>
        <w:rPr>
          <w:rFonts w:ascii="宋体" w:hAnsi="宋体"/>
          <w:b/>
          <w:sz w:val="28"/>
          <w:szCs w:val="28"/>
          <w:highlight w:val="none"/>
          <w:lang w:val="zh-CN"/>
        </w:rPr>
        <w:t>价格分</w:t>
      </w:r>
      <w:r>
        <w:rPr>
          <w:rFonts w:ascii="宋体" w:hAnsi="宋体"/>
          <w:b/>
          <w:sz w:val="28"/>
          <w:szCs w:val="28"/>
          <w:highlight w:val="none"/>
        </w:rPr>
        <w:t>：</w:t>
      </w:r>
      <w:r>
        <w:rPr>
          <w:rFonts w:hint="eastAsia" w:ascii="宋体" w:hAnsi="宋体"/>
          <w:sz w:val="28"/>
          <w:szCs w:val="28"/>
          <w:highlight w:val="none"/>
          <w:lang w:val="en-US" w:eastAsia="zh-CN"/>
        </w:rPr>
        <w:t>4</w:t>
      </w:r>
      <w:r>
        <w:rPr>
          <w:rFonts w:hint="eastAsia" w:ascii="宋体" w:hAnsi="宋体"/>
          <w:sz w:val="28"/>
          <w:szCs w:val="28"/>
          <w:highlight w:val="none"/>
        </w:rPr>
        <w:t>0</w:t>
      </w:r>
      <w:r>
        <w:rPr>
          <w:rFonts w:ascii="宋体" w:hAnsi="宋体"/>
          <w:sz w:val="28"/>
          <w:szCs w:val="28"/>
          <w:highlight w:val="none"/>
          <w:lang w:val="zh-CN"/>
        </w:rPr>
        <w:t>分</w:t>
      </w:r>
    </w:p>
    <w:p w14:paraId="36B0DCC2">
      <w:pPr>
        <w:keepNext w:val="0"/>
        <w:keepLines w:val="0"/>
        <w:pageBreakBefore w:val="0"/>
        <w:widowControl w:val="0"/>
        <w:kinsoku/>
        <w:wordWrap/>
        <w:overflowPunct/>
        <w:topLinePunct w:val="0"/>
        <w:bidi w:val="0"/>
        <w:adjustRightInd w:val="0"/>
        <w:snapToGrid w:val="0"/>
        <w:spacing w:line="400" w:lineRule="exact"/>
        <w:ind w:firstLine="520" w:firstLineChars="200"/>
        <w:textAlignment w:val="auto"/>
        <w:rPr>
          <w:rFonts w:ascii="宋体" w:hAnsi="宋体"/>
          <w:sz w:val="26"/>
          <w:szCs w:val="26"/>
          <w:highlight w:val="none"/>
        </w:rPr>
      </w:pPr>
      <w:r>
        <w:rPr>
          <w:rFonts w:ascii="宋体" w:hAnsi="宋体"/>
          <w:sz w:val="26"/>
          <w:szCs w:val="26"/>
          <w:highlight w:val="none"/>
        </w:rPr>
        <w:t>价格分统一采用低价优先法计算，即满足招标文件要求且投标价格最低的投标报价为评标基准价，其价格分为满分。其他投标人的价格分统一按照下列公式计算：</w:t>
      </w:r>
    </w:p>
    <w:p w14:paraId="0AF3ECA0">
      <w:pPr>
        <w:keepNext w:val="0"/>
        <w:keepLines w:val="0"/>
        <w:pageBreakBefore w:val="0"/>
        <w:widowControl w:val="0"/>
        <w:kinsoku/>
        <w:wordWrap/>
        <w:overflowPunct/>
        <w:topLinePunct w:val="0"/>
        <w:bidi w:val="0"/>
        <w:spacing w:line="400" w:lineRule="exact"/>
        <w:ind w:firstLine="482"/>
        <w:textAlignment w:val="auto"/>
        <w:rPr>
          <w:rFonts w:hint="default" w:ascii="宋体" w:hAnsi="宋体" w:eastAsia="宋体" w:cs="宋体"/>
          <w:b/>
          <w:bCs/>
          <w:color w:val="auto"/>
          <w:sz w:val="26"/>
          <w:szCs w:val="26"/>
          <w:highlight w:val="none"/>
          <w:lang w:val="en-US" w:eastAsia="zh-CN"/>
        </w:rPr>
      </w:pPr>
      <w:r>
        <w:rPr>
          <w:rFonts w:ascii="宋体" w:hAnsi="宋体"/>
          <w:sz w:val="26"/>
          <w:szCs w:val="26"/>
          <w:highlight w:val="none"/>
        </w:rPr>
        <w:t>投标报价得分=（评标基准价</w:t>
      </w:r>
      <w:r>
        <w:rPr>
          <w:rFonts w:hint="eastAsia" w:ascii="宋体" w:hAnsi="宋体"/>
          <w:sz w:val="26"/>
          <w:szCs w:val="26"/>
          <w:highlight w:val="none"/>
        </w:rPr>
        <w:t>/</w:t>
      </w:r>
      <w:r>
        <w:rPr>
          <w:rFonts w:ascii="宋体" w:hAnsi="宋体"/>
          <w:sz w:val="26"/>
          <w:szCs w:val="26"/>
          <w:highlight w:val="none"/>
        </w:rPr>
        <w:t>投标报价</w:t>
      </w:r>
      <w:r>
        <w:rPr>
          <w:rFonts w:ascii="宋体" w:hAnsi="宋体"/>
          <w:sz w:val="26"/>
          <w:szCs w:val="26"/>
          <w:highlight w:val="none"/>
        </w:rPr>
        <w:t>）×</w:t>
      </w:r>
      <w:r>
        <w:rPr>
          <w:rFonts w:hint="eastAsia" w:ascii="宋体" w:hAnsi="宋体"/>
          <w:sz w:val="26"/>
          <w:szCs w:val="26"/>
          <w:highlight w:val="none"/>
          <w:lang w:val="en-US" w:eastAsia="zh-CN"/>
        </w:rPr>
        <w:t>30</w:t>
      </w:r>
    </w:p>
    <w:p w14:paraId="479A321C">
      <w:pPr>
        <w:adjustRightInd w:val="0"/>
        <w:snapToGrid w:val="0"/>
        <w:spacing w:line="500" w:lineRule="exact"/>
        <w:jc w:val="left"/>
        <w:rPr>
          <w:rFonts w:hint="eastAsia" w:ascii="宋体" w:hAnsi="宋体" w:eastAsia="宋体"/>
          <w:sz w:val="28"/>
          <w:szCs w:val="28"/>
          <w:highlight w:val="none"/>
          <w:lang w:val="en-US" w:eastAsia="zh-CN"/>
        </w:rPr>
      </w:pPr>
      <w:r>
        <w:rPr>
          <w:rFonts w:hint="eastAsia" w:ascii="宋体" w:hAnsi="宋体"/>
          <w:bCs/>
          <w:color w:val="auto"/>
          <w:highlight w:val="none"/>
          <w:lang w:val="en-US" w:eastAsia="zh-CN"/>
        </w:rPr>
        <w:t xml:space="preserve"> </w:t>
      </w:r>
      <w:r>
        <w:rPr>
          <w:rFonts w:hint="eastAsia" w:ascii="宋体" w:hAnsi="宋体" w:cs="宋体"/>
          <w:b/>
          <w:bCs/>
          <w:color w:val="auto"/>
          <w:highlight w:val="none"/>
        </w:rPr>
        <w:t>3.技术分（</w:t>
      </w:r>
      <w:r>
        <w:rPr>
          <w:rFonts w:hint="eastAsia" w:ascii="宋体" w:hAnsi="宋体" w:cs="宋体"/>
          <w:b/>
          <w:bCs/>
          <w:color w:val="auto"/>
          <w:highlight w:val="none"/>
          <w:lang w:val="en-US" w:eastAsia="zh-CN"/>
        </w:rPr>
        <w:t>6</w:t>
      </w:r>
      <w:r>
        <w:rPr>
          <w:rFonts w:ascii="宋体" w:hAnsi="宋体" w:cs="宋体"/>
          <w:b/>
          <w:bCs/>
          <w:color w:val="auto"/>
          <w:highlight w:val="none"/>
        </w:rPr>
        <w:t>0</w:t>
      </w:r>
      <w:r>
        <w:rPr>
          <w:rFonts w:hint="eastAsia" w:ascii="宋体" w:hAnsi="宋体" w:cs="宋体"/>
          <w:b/>
          <w:bCs/>
          <w:color w:val="auto"/>
          <w:highlight w:val="none"/>
        </w:rPr>
        <w:t>分）：</w:t>
      </w:r>
      <w:r>
        <w:rPr>
          <w:rFonts w:hint="eastAsia" w:ascii="宋体" w:hAnsi="宋体" w:cs="宋体"/>
          <w:b/>
          <w:bCs/>
          <w:color w:val="auto"/>
          <w:highlight w:val="none"/>
          <w:lang w:val="en-US" w:eastAsia="zh-CN"/>
        </w:rPr>
        <w:t xml:space="preserve"> </w:t>
      </w:r>
    </w:p>
    <w:tbl>
      <w:tblPr>
        <w:tblStyle w:val="50"/>
        <w:tblW w:w="1012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560"/>
        <w:gridCol w:w="6570"/>
        <w:gridCol w:w="818"/>
      </w:tblGrid>
      <w:tr w14:paraId="32BE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1" w:type="dxa"/>
            <w:tcBorders>
              <w:top w:val="single" w:color="auto" w:sz="4" w:space="0"/>
              <w:left w:val="single" w:color="auto" w:sz="4" w:space="0"/>
              <w:bottom w:val="single" w:color="auto" w:sz="4" w:space="0"/>
              <w:right w:val="single" w:color="auto" w:sz="4" w:space="0"/>
            </w:tcBorders>
            <w:vAlign w:val="center"/>
          </w:tcPr>
          <w:p w14:paraId="0AD78E21">
            <w:pPr>
              <w:autoSpaceDE w:val="0"/>
              <w:spacing w:line="360" w:lineRule="auto"/>
              <w:ind w:left="0" w:leftChars="0" w:firstLine="0" w:firstLineChars="0"/>
              <w:jc w:val="both"/>
              <w:rPr>
                <w:rFonts w:hint="eastAsia" w:ascii="宋体" w:hAnsi="宋体" w:eastAsia="宋体" w:cs="Times New Roman"/>
                <w:kern w:val="0"/>
                <w:sz w:val="24"/>
                <w:szCs w:val="24"/>
                <w:highlight w:val="none"/>
                <w14:ligatures w14:val="none"/>
              </w:rPr>
            </w:pPr>
            <w:r>
              <w:rPr>
                <w:rFonts w:hint="eastAsia" w:ascii="宋体" w:hAnsi="宋体" w:eastAsia="宋体" w:cs="Times New Roman"/>
                <w:kern w:val="0"/>
                <w:sz w:val="24"/>
                <w:szCs w:val="24"/>
                <w:highlight w:val="none"/>
                <w14:ligatures w14:val="none"/>
              </w:rPr>
              <w:t>序号</w:t>
            </w:r>
          </w:p>
        </w:tc>
        <w:tc>
          <w:tcPr>
            <w:tcW w:w="1560" w:type="dxa"/>
            <w:tcBorders>
              <w:top w:val="single" w:color="auto" w:sz="4" w:space="0"/>
              <w:left w:val="single" w:color="auto" w:sz="4" w:space="0"/>
              <w:bottom w:val="single" w:color="auto" w:sz="4" w:space="0"/>
              <w:right w:val="single" w:color="auto" w:sz="4" w:space="0"/>
            </w:tcBorders>
            <w:vAlign w:val="center"/>
          </w:tcPr>
          <w:p w14:paraId="0A74315A">
            <w:pPr>
              <w:autoSpaceDE w:val="0"/>
              <w:spacing w:line="360" w:lineRule="auto"/>
              <w:ind w:left="0" w:leftChars="0" w:firstLine="0" w:firstLineChars="0"/>
              <w:jc w:val="both"/>
              <w:rPr>
                <w:rFonts w:hint="eastAsia" w:ascii="宋体" w:hAnsi="宋体" w:eastAsia="宋体" w:cs="Times New Roman"/>
                <w:kern w:val="0"/>
                <w:sz w:val="24"/>
                <w:szCs w:val="24"/>
                <w:highlight w:val="none"/>
                <w14:ligatures w14:val="none"/>
              </w:rPr>
            </w:pPr>
            <w:r>
              <w:rPr>
                <w:rFonts w:hint="eastAsia" w:ascii="宋体" w:hAnsi="宋体" w:eastAsia="宋体" w:cs="Times New Roman"/>
                <w:kern w:val="0"/>
                <w:sz w:val="24"/>
                <w:szCs w:val="24"/>
                <w:highlight w:val="none"/>
                <w14:ligatures w14:val="none"/>
              </w:rPr>
              <w:t>评审因素</w:t>
            </w:r>
          </w:p>
        </w:tc>
        <w:tc>
          <w:tcPr>
            <w:tcW w:w="6570" w:type="dxa"/>
            <w:tcBorders>
              <w:top w:val="single" w:color="auto" w:sz="4" w:space="0"/>
              <w:left w:val="single" w:color="auto" w:sz="4" w:space="0"/>
              <w:bottom w:val="single" w:color="auto" w:sz="4" w:space="0"/>
              <w:right w:val="single" w:color="auto" w:sz="4" w:space="0"/>
            </w:tcBorders>
            <w:vAlign w:val="center"/>
          </w:tcPr>
          <w:p w14:paraId="2696075D">
            <w:pPr>
              <w:autoSpaceDE w:val="0"/>
              <w:spacing w:line="360" w:lineRule="auto"/>
              <w:jc w:val="center"/>
              <w:rPr>
                <w:rFonts w:hint="eastAsia" w:ascii="宋体" w:hAnsi="宋体" w:eastAsia="宋体" w:cs="Times New Roman"/>
                <w:kern w:val="0"/>
                <w:sz w:val="24"/>
                <w:szCs w:val="24"/>
                <w:highlight w:val="none"/>
                <w14:ligatures w14:val="none"/>
              </w:rPr>
            </w:pPr>
            <w:r>
              <w:rPr>
                <w:rFonts w:hint="eastAsia" w:ascii="宋体" w:hAnsi="宋体" w:eastAsia="宋体" w:cs="Times New Roman"/>
                <w:kern w:val="0"/>
                <w:sz w:val="24"/>
                <w:szCs w:val="24"/>
                <w:highlight w:val="none"/>
                <w14:ligatures w14:val="none"/>
              </w:rPr>
              <w:t>评审细则</w:t>
            </w:r>
          </w:p>
        </w:tc>
        <w:tc>
          <w:tcPr>
            <w:tcW w:w="818" w:type="dxa"/>
            <w:tcBorders>
              <w:top w:val="single" w:color="auto" w:sz="4" w:space="0"/>
              <w:left w:val="single" w:color="auto" w:sz="4" w:space="0"/>
              <w:bottom w:val="single" w:color="auto" w:sz="4" w:space="0"/>
              <w:right w:val="single" w:color="auto" w:sz="4" w:space="0"/>
            </w:tcBorders>
            <w:vAlign w:val="center"/>
          </w:tcPr>
          <w:p w14:paraId="64A54111">
            <w:pPr>
              <w:autoSpaceDE w:val="0"/>
              <w:spacing w:line="360" w:lineRule="auto"/>
              <w:ind w:left="0" w:leftChars="0" w:firstLine="0" w:firstLineChars="0"/>
              <w:jc w:val="both"/>
              <w:rPr>
                <w:rFonts w:hint="eastAsia" w:ascii="宋体" w:hAnsi="宋体" w:eastAsia="宋体" w:cs="Times New Roman"/>
                <w:kern w:val="0"/>
                <w:sz w:val="24"/>
                <w:szCs w:val="24"/>
                <w:highlight w:val="none"/>
                <w14:ligatures w14:val="none"/>
              </w:rPr>
            </w:pPr>
            <w:r>
              <w:rPr>
                <w:rFonts w:hint="eastAsia" w:ascii="宋体" w:hAnsi="宋体" w:eastAsia="宋体" w:cs="Times New Roman"/>
                <w:kern w:val="0"/>
                <w:sz w:val="24"/>
                <w:szCs w:val="24"/>
                <w:highlight w:val="none"/>
                <w14:ligatures w14:val="none"/>
              </w:rPr>
              <w:t>分值（分）</w:t>
            </w:r>
          </w:p>
        </w:tc>
      </w:tr>
      <w:tr w14:paraId="6C4C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81" w:type="dxa"/>
            <w:vMerge w:val="restart"/>
            <w:tcBorders>
              <w:top w:val="nil"/>
              <w:left w:val="single" w:color="auto" w:sz="4" w:space="0"/>
              <w:bottom w:val="single" w:color="auto" w:sz="4" w:space="0"/>
              <w:right w:val="single" w:color="auto" w:sz="4" w:space="0"/>
            </w:tcBorders>
            <w:vAlign w:val="center"/>
          </w:tcPr>
          <w:p w14:paraId="336CDBB6">
            <w:pPr>
              <w:autoSpaceDE w:val="0"/>
              <w:snapToGrid w:val="0"/>
              <w:spacing w:line="360" w:lineRule="auto"/>
              <w:ind w:left="0" w:leftChars="0" w:firstLine="0" w:firstLineChars="0"/>
              <w:jc w:val="both"/>
              <w:rPr>
                <w:rFonts w:hint="eastAsia" w:ascii="宋体" w:hAnsi="宋体" w:eastAsia="宋体" w:cs="Times New Roman"/>
                <w:sz w:val="22"/>
                <w:highlight w:val="none"/>
                <w14:ligatures w14:val="none"/>
              </w:rPr>
            </w:pPr>
            <w:r>
              <w:rPr>
                <w:rFonts w:hint="eastAsia" w:ascii="宋体" w:hAnsi="宋体" w:eastAsia="宋体" w:cs="Times New Roman"/>
                <w:sz w:val="22"/>
                <w:highlight w:val="none"/>
                <w14:ligatures w14:val="none"/>
              </w:rPr>
              <w:t>技术部分</w:t>
            </w:r>
          </w:p>
          <w:p w14:paraId="7235AD4E">
            <w:pPr>
              <w:autoSpaceDE w:val="0"/>
              <w:spacing w:line="360" w:lineRule="auto"/>
              <w:ind w:left="0" w:leftChars="0" w:firstLine="0" w:firstLineChars="0"/>
              <w:jc w:val="both"/>
              <w:rPr>
                <w:rFonts w:hint="eastAsia" w:ascii="宋体" w:hAnsi="宋体" w:eastAsia="宋体" w:cs="Times New Roman"/>
                <w:sz w:val="22"/>
                <w:highlight w:val="none"/>
                <w14:ligatures w14:val="none"/>
              </w:rPr>
            </w:pPr>
            <w:r>
              <w:rPr>
                <w:rFonts w:hint="eastAsia" w:ascii="宋体" w:hAnsi="宋体" w:eastAsia="宋体" w:cs="Times New Roman"/>
                <w:sz w:val="22"/>
                <w:highlight w:val="none"/>
                <w14:ligatures w14:val="none"/>
              </w:rPr>
              <w:t>（</w:t>
            </w:r>
            <w:r>
              <w:rPr>
                <w:rFonts w:hint="eastAsia" w:ascii="宋体" w:hAnsi="宋体" w:eastAsia="宋体" w:cs="Times New Roman"/>
                <w:sz w:val="22"/>
                <w:highlight w:val="none"/>
                <w:lang w:val="en-US" w:eastAsia="zh-CN"/>
                <w14:ligatures w14:val="none"/>
              </w:rPr>
              <w:t>6</w:t>
            </w:r>
            <w:r>
              <w:rPr>
                <w:rFonts w:hint="eastAsia" w:ascii="宋体" w:hAnsi="宋体" w:eastAsia="宋体" w:cs="Times New Roman"/>
                <w:sz w:val="22"/>
                <w:highlight w:val="none"/>
                <w14:ligatures w14:val="none"/>
              </w:rPr>
              <w:t>0分）</w:t>
            </w:r>
          </w:p>
          <w:p w14:paraId="10468186">
            <w:pPr>
              <w:autoSpaceDE w:val="0"/>
              <w:spacing w:line="360" w:lineRule="auto"/>
              <w:jc w:val="center"/>
              <w:rPr>
                <w:rFonts w:hint="eastAsia" w:ascii="宋体" w:hAnsi="宋体" w:eastAsia="宋体" w:cs="Times New Roman"/>
                <w:kern w:val="0"/>
                <w:sz w:val="22"/>
                <w:highlight w:val="none"/>
                <w14:ligatures w14:val="none"/>
              </w:rPr>
            </w:pPr>
            <w:r>
              <w:rPr>
                <w:rFonts w:hint="eastAsia" w:ascii="宋体" w:hAnsi="宋体" w:eastAsia="宋体" w:cs="Times New Roman"/>
                <w:kern w:val="0"/>
                <w:sz w:val="22"/>
                <w:highlight w:val="none"/>
                <w14:ligatures w14:val="none"/>
              </w:rPr>
              <w:t xml:space="preserve"> </w:t>
            </w:r>
          </w:p>
        </w:tc>
        <w:tc>
          <w:tcPr>
            <w:tcW w:w="1560" w:type="dxa"/>
            <w:tcBorders>
              <w:top w:val="single" w:color="auto" w:sz="4" w:space="0"/>
              <w:left w:val="single" w:color="auto" w:sz="4" w:space="0"/>
              <w:bottom w:val="single" w:color="auto" w:sz="4" w:space="0"/>
              <w:right w:val="single" w:color="auto" w:sz="4" w:space="0"/>
            </w:tcBorders>
            <w:vAlign w:val="center"/>
          </w:tcPr>
          <w:p w14:paraId="7BE3B2A4">
            <w:pPr>
              <w:autoSpaceDE w:val="0"/>
              <w:snapToGrid w:val="0"/>
              <w:spacing w:line="360" w:lineRule="auto"/>
              <w:ind w:left="0" w:leftChars="0" w:firstLine="0" w:firstLineChars="0"/>
              <w:jc w:val="both"/>
              <w:rPr>
                <w:rFonts w:hint="eastAsia" w:ascii="宋体" w:hAnsi="宋体" w:eastAsia="宋体" w:cs="Times New Roman"/>
                <w:color w:val="FF0000"/>
                <w:kern w:val="0"/>
                <w:sz w:val="22"/>
                <w:highlight w:val="none"/>
                <w14:ligatures w14:val="none"/>
              </w:rPr>
            </w:pPr>
            <w:r>
              <w:rPr>
                <w:rFonts w:hint="eastAsia" w:ascii="宋体" w:hAnsi="宋体" w:eastAsia="宋体" w:cs="Times New Roman"/>
                <w:sz w:val="22"/>
                <w:highlight w:val="none"/>
                <w14:ligatures w14:val="none"/>
              </w:rPr>
              <w:t>产品技术参数响应</w:t>
            </w:r>
          </w:p>
        </w:tc>
        <w:tc>
          <w:tcPr>
            <w:tcW w:w="6570" w:type="dxa"/>
            <w:tcBorders>
              <w:top w:val="single" w:color="auto" w:sz="4" w:space="0"/>
              <w:left w:val="single" w:color="auto" w:sz="4" w:space="0"/>
              <w:bottom w:val="single" w:color="auto" w:sz="4" w:space="0"/>
              <w:right w:val="single" w:color="auto" w:sz="4" w:space="0"/>
            </w:tcBorders>
            <w:vAlign w:val="center"/>
          </w:tcPr>
          <w:p w14:paraId="694929EC">
            <w:pPr>
              <w:autoSpaceDE w:val="0"/>
              <w:spacing w:line="360" w:lineRule="auto"/>
              <w:rPr>
                <w:rFonts w:hint="eastAsia" w:ascii="宋体" w:hAnsi="宋体" w:eastAsia="宋体" w:cs="Times New Roman"/>
                <w:color w:val="auto"/>
                <w:sz w:val="22"/>
                <w:highlight w:val="none"/>
                <w14:ligatures w14:val="none"/>
              </w:rPr>
            </w:pPr>
            <w:r>
              <w:rPr>
                <w:rFonts w:hint="eastAsia" w:ascii="宋体" w:hAnsi="宋体" w:eastAsia="宋体" w:cs="Times New Roman"/>
                <w:color w:val="auto"/>
                <w:kern w:val="0"/>
                <w:sz w:val="22"/>
                <w:highlight w:val="none"/>
                <w14:ligatures w14:val="none"/>
              </w:rPr>
              <w:t>采购文件项目需求中带▲的条款为重要参数，满分</w:t>
            </w:r>
            <w:r>
              <w:rPr>
                <w:rFonts w:hint="eastAsia" w:ascii="宋体" w:hAnsi="宋体" w:eastAsia="宋体" w:cs="Times New Roman"/>
                <w:color w:val="auto"/>
                <w:kern w:val="0"/>
                <w:sz w:val="22"/>
                <w:highlight w:val="none"/>
                <w:lang w:val="en-US" w:eastAsia="zh-CN"/>
                <w14:ligatures w14:val="none"/>
              </w:rPr>
              <w:t>42</w:t>
            </w:r>
            <w:r>
              <w:rPr>
                <w:rFonts w:hint="eastAsia" w:ascii="宋体" w:hAnsi="宋体" w:eastAsia="宋体" w:cs="Times New Roman"/>
                <w:color w:val="auto"/>
                <w:kern w:val="0"/>
                <w:sz w:val="22"/>
                <w:highlight w:val="none"/>
                <w14:ligatures w14:val="none"/>
              </w:rPr>
              <w:t>分，每有一条不满足扣</w:t>
            </w:r>
            <w:r>
              <w:rPr>
                <w:rFonts w:hint="eastAsia" w:ascii="宋体" w:hAnsi="宋体" w:eastAsia="宋体" w:cs="Times New Roman"/>
                <w:color w:val="auto"/>
                <w:kern w:val="0"/>
                <w:sz w:val="22"/>
                <w:highlight w:val="none"/>
                <w:lang w:val="en-US" w:eastAsia="zh-CN"/>
                <w14:ligatures w14:val="none"/>
              </w:rPr>
              <w:t>3</w:t>
            </w:r>
            <w:r>
              <w:rPr>
                <w:rFonts w:hint="eastAsia" w:ascii="宋体" w:hAnsi="宋体" w:eastAsia="宋体" w:cs="Times New Roman"/>
                <w:color w:val="auto"/>
                <w:kern w:val="0"/>
                <w:sz w:val="22"/>
                <w:highlight w:val="none"/>
                <w14:ligatures w14:val="none"/>
              </w:rPr>
              <w:t xml:space="preserve">分，扣完为止。投标时须提供相应证明文件【包括不限于：检测报告，认证证书，功能截图等】复印件加盖投标人公章，同时证书信息于“全国认证认可信息公共服务平台”网站可查询，提供网站查询截图。 </w:t>
            </w:r>
          </w:p>
        </w:tc>
        <w:tc>
          <w:tcPr>
            <w:tcW w:w="818" w:type="dxa"/>
            <w:tcBorders>
              <w:top w:val="single" w:color="auto" w:sz="4" w:space="0"/>
              <w:left w:val="single" w:color="auto" w:sz="4" w:space="0"/>
              <w:bottom w:val="single" w:color="auto" w:sz="4" w:space="0"/>
              <w:right w:val="single" w:color="auto" w:sz="4" w:space="0"/>
            </w:tcBorders>
            <w:vAlign w:val="center"/>
          </w:tcPr>
          <w:p w14:paraId="36DA35C0">
            <w:pPr>
              <w:autoSpaceDE w:val="0"/>
              <w:spacing w:line="360" w:lineRule="auto"/>
              <w:ind w:left="0" w:leftChars="0" w:firstLine="0" w:firstLineChars="0"/>
              <w:jc w:val="both"/>
              <w:rPr>
                <w:rFonts w:hint="default" w:ascii="宋体" w:hAnsi="宋体" w:eastAsia="宋体" w:cs="Times New Roman"/>
                <w:color w:val="auto"/>
                <w:kern w:val="0"/>
                <w:sz w:val="24"/>
                <w:szCs w:val="24"/>
                <w:highlight w:val="none"/>
                <w:lang w:val="en-US" w:eastAsia="zh-CN"/>
                <w14:ligatures w14:val="none"/>
              </w:rPr>
            </w:pPr>
            <w:r>
              <w:rPr>
                <w:rFonts w:hint="eastAsia" w:ascii="宋体" w:hAnsi="宋体" w:eastAsia="宋体" w:cs="Times New Roman"/>
                <w:color w:val="auto"/>
                <w:kern w:val="0"/>
                <w:sz w:val="24"/>
                <w:szCs w:val="24"/>
                <w:highlight w:val="none"/>
                <w:lang w:val="en-US" w:eastAsia="zh-CN"/>
                <w14:ligatures w14:val="none"/>
              </w:rPr>
              <w:t>42</w:t>
            </w:r>
          </w:p>
        </w:tc>
      </w:tr>
      <w:tr w14:paraId="2FE5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81" w:type="dxa"/>
            <w:vMerge w:val="continue"/>
            <w:tcBorders>
              <w:top w:val="nil"/>
              <w:left w:val="single" w:color="auto" w:sz="4" w:space="0"/>
              <w:bottom w:val="single" w:color="auto" w:sz="4" w:space="0"/>
              <w:right w:val="single" w:color="auto" w:sz="4" w:space="0"/>
            </w:tcBorders>
            <w:vAlign w:val="center"/>
          </w:tcPr>
          <w:p w14:paraId="02D0770E">
            <w:pPr>
              <w:widowControl/>
              <w:jc w:val="left"/>
              <w:rPr>
                <w:rFonts w:ascii="宋体" w:hAnsi="宋体" w:eastAsia="宋体" w:cs="Times New Roman"/>
                <w:kern w:val="0"/>
                <w:sz w:val="22"/>
                <w:highlight w:val="none"/>
                <w14:ligatures w14: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273F86E">
            <w:pPr>
              <w:autoSpaceDE w:val="0"/>
              <w:snapToGrid w:val="0"/>
              <w:spacing w:line="360" w:lineRule="auto"/>
              <w:ind w:left="0" w:leftChars="0" w:firstLine="0" w:firstLineChars="0"/>
              <w:jc w:val="both"/>
              <w:rPr>
                <w:rFonts w:hint="eastAsia" w:ascii="宋体" w:hAnsi="宋体" w:eastAsia="宋体" w:cs="Times New Roman"/>
                <w:sz w:val="22"/>
                <w:highlight w:val="none"/>
                <w14:ligatures w14:val="none"/>
              </w:rPr>
            </w:pPr>
            <w:r>
              <w:rPr>
                <w:rFonts w:hint="eastAsia" w:ascii="宋体" w:hAnsi="宋体" w:eastAsia="宋体" w:cs="Times New Roman"/>
                <w:kern w:val="0"/>
                <w:sz w:val="22"/>
                <w:highlight w:val="none"/>
                <w14:ligatures w14:val="none"/>
              </w:rPr>
              <w:t>售后服务方案</w:t>
            </w:r>
          </w:p>
        </w:tc>
        <w:tc>
          <w:tcPr>
            <w:tcW w:w="6570" w:type="dxa"/>
            <w:tcBorders>
              <w:top w:val="single" w:color="auto" w:sz="4" w:space="0"/>
              <w:left w:val="single" w:color="auto" w:sz="4" w:space="0"/>
              <w:bottom w:val="single" w:color="auto" w:sz="4" w:space="0"/>
              <w:right w:val="single" w:color="auto" w:sz="4" w:space="0"/>
            </w:tcBorders>
            <w:vAlign w:val="center"/>
          </w:tcPr>
          <w:p w14:paraId="060E4B1D">
            <w:pPr>
              <w:autoSpaceDE w:val="0"/>
              <w:spacing w:line="360" w:lineRule="auto"/>
              <w:jc w:val="left"/>
              <w:rPr>
                <w:rFonts w:hint="eastAsia" w:ascii="宋体" w:hAnsi="宋体" w:eastAsia="宋体" w:cs="Times New Roman"/>
                <w:sz w:val="22"/>
                <w:highlight w:val="none"/>
                <w14:ligatures w14:val="none"/>
              </w:rPr>
            </w:pPr>
            <w:r>
              <w:rPr>
                <w:rFonts w:hint="eastAsia" w:ascii="宋体" w:hAnsi="宋体" w:eastAsia="宋体" w:cs="Times New Roman"/>
                <w:sz w:val="22"/>
                <w:highlight w:val="none"/>
                <w14:ligatures w14:val="none"/>
              </w:rPr>
              <w:t>根据投标人的售后服务能力、服务方案响应时间、售后处理时间、服务便捷性等，针对项目提供详细合理的售后服务方案进行评分：</w:t>
            </w:r>
          </w:p>
          <w:p w14:paraId="6D645606">
            <w:pPr>
              <w:numPr>
                <w:ilvl w:val="0"/>
                <w:numId w:val="15"/>
              </w:numPr>
              <w:autoSpaceDE w:val="0"/>
              <w:spacing w:line="360" w:lineRule="auto"/>
              <w:ind w:firstLine="440" w:firstLineChars="200"/>
              <w:jc w:val="left"/>
              <w:rPr>
                <w:rFonts w:hint="eastAsia" w:ascii="宋体" w:hAnsi="宋体" w:eastAsia="宋体" w:cs="Times New Roman"/>
                <w:sz w:val="22"/>
                <w:highlight w:val="none"/>
                <w14:ligatures w14:val="none"/>
              </w:rPr>
            </w:pPr>
            <w:r>
              <w:rPr>
                <w:rFonts w:hint="eastAsia" w:ascii="宋体" w:hAnsi="宋体" w:eastAsia="宋体" w:cs="Times New Roman"/>
                <w:sz w:val="22"/>
                <w:highlight w:val="none"/>
                <w14:ligatures w14:val="none"/>
              </w:rPr>
              <w:t>响应时间短 ，有详细、合理可行的服务方案，服务方案优越；能在24小时内解决问题，得</w:t>
            </w:r>
            <w:r>
              <w:rPr>
                <w:rFonts w:hint="eastAsia" w:ascii="宋体" w:hAnsi="宋体" w:eastAsia="宋体" w:cs="Times New Roman"/>
                <w:sz w:val="22"/>
                <w:highlight w:val="none"/>
                <w:lang w:val="en-US" w:eastAsia="zh-CN"/>
                <w14:ligatures w14:val="none"/>
              </w:rPr>
              <w:t>3</w:t>
            </w:r>
            <w:r>
              <w:rPr>
                <w:rFonts w:hint="eastAsia" w:ascii="宋体" w:hAnsi="宋体" w:eastAsia="宋体" w:cs="Times New Roman"/>
                <w:sz w:val="22"/>
                <w:highlight w:val="none"/>
                <w14:ligatures w14:val="none"/>
              </w:rPr>
              <w:t>分</w:t>
            </w:r>
            <w:r>
              <w:rPr>
                <w:rFonts w:hint="eastAsia" w:ascii="宋体" w:hAnsi="宋体" w:cs="Times New Roman"/>
                <w:sz w:val="22"/>
                <w:highlight w:val="none"/>
                <w:lang w:eastAsia="zh-CN"/>
                <w14:ligatures w14:val="none"/>
              </w:rPr>
              <w:t>；</w:t>
            </w:r>
          </w:p>
          <w:p w14:paraId="3D4510C0">
            <w:pPr>
              <w:numPr>
                <w:ilvl w:val="0"/>
                <w:numId w:val="15"/>
              </w:numPr>
              <w:autoSpaceDE w:val="0"/>
              <w:spacing w:line="360" w:lineRule="auto"/>
              <w:ind w:firstLine="440" w:firstLineChars="200"/>
              <w:jc w:val="left"/>
              <w:rPr>
                <w:rFonts w:hint="eastAsia" w:ascii="宋体" w:hAnsi="宋体" w:eastAsia="宋体" w:cs="Times New Roman"/>
                <w:sz w:val="22"/>
                <w:highlight w:val="none"/>
                <w14:ligatures w14:val="none"/>
              </w:rPr>
            </w:pPr>
            <w:r>
              <w:rPr>
                <w:rFonts w:hint="eastAsia" w:ascii="宋体" w:hAnsi="宋体" w:eastAsia="宋体" w:cs="Times New Roman"/>
                <w:sz w:val="22"/>
                <w:highlight w:val="none"/>
                <w14:ligatures w14:val="none"/>
              </w:rPr>
              <w:t>响应时间较短；有较详细、合理可行的服务方案，服务方案良好，能在48小时内解决问题，得</w:t>
            </w:r>
            <w:r>
              <w:rPr>
                <w:rFonts w:hint="eastAsia" w:ascii="宋体" w:hAnsi="宋体" w:eastAsia="宋体" w:cs="Times New Roman"/>
                <w:sz w:val="22"/>
                <w:highlight w:val="none"/>
                <w:lang w:val="en-US" w:eastAsia="zh-CN"/>
                <w14:ligatures w14:val="none"/>
              </w:rPr>
              <w:t>1</w:t>
            </w:r>
            <w:r>
              <w:rPr>
                <w:rFonts w:hint="eastAsia" w:ascii="宋体" w:hAnsi="宋体" w:eastAsia="宋体" w:cs="Times New Roman"/>
                <w:sz w:val="22"/>
                <w:highlight w:val="none"/>
                <w14:ligatures w14:val="none"/>
              </w:rPr>
              <w:t>分</w:t>
            </w:r>
            <w:r>
              <w:rPr>
                <w:rFonts w:hint="eastAsia" w:ascii="宋体" w:hAnsi="宋体" w:cs="Times New Roman"/>
                <w:sz w:val="22"/>
                <w:highlight w:val="none"/>
                <w:lang w:eastAsia="zh-CN"/>
                <w14:ligatures w14:val="none"/>
              </w:rPr>
              <w:t>；</w:t>
            </w:r>
          </w:p>
          <w:p w14:paraId="1DA0773C">
            <w:pPr>
              <w:numPr>
                <w:ilvl w:val="0"/>
                <w:numId w:val="15"/>
              </w:numPr>
              <w:autoSpaceDE w:val="0"/>
              <w:spacing w:line="360" w:lineRule="auto"/>
              <w:ind w:firstLine="440" w:firstLineChars="200"/>
              <w:jc w:val="left"/>
              <w:rPr>
                <w:rFonts w:hint="eastAsia" w:ascii="宋体" w:hAnsi="宋体" w:eastAsia="宋体" w:cs="Times New Roman"/>
                <w:sz w:val="22"/>
                <w:highlight w:val="none"/>
                <w14:ligatures w14:val="none"/>
              </w:rPr>
            </w:pPr>
            <w:r>
              <w:rPr>
                <w:rFonts w:hint="eastAsia" w:ascii="宋体" w:hAnsi="宋体" w:eastAsia="宋体" w:cs="Times New Roman"/>
                <w:sz w:val="22"/>
                <w:highlight w:val="none"/>
                <w14:ligatures w14:val="none"/>
              </w:rPr>
              <w:t>服务方案一般，响应时间较长，不得分。</w:t>
            </w:r>
          </w:p>
        </w:tc>
        <w:tc>
          <w:tcPr>
            <w:tcW w:w="818" w:type="dxa"/>
            <w:tcBorders>
              <w:top w:val="single" w:color="auto" w:sz="4" w:space="0"/>
              <w:left w:val="single" w:color="auto" w:sz="4" w:space="0"/>
              <w:bottom w:val="single" w:color="auto" w:sz="4" w:space="0"/>
              <w:right w:val="single" w:color="auto" w:sz="4" w:space="0"/>
            </w:tcBorders>
            <w:vAlign w:val="center"/>
          </w:tcPr>
          <w:p w14:paraId="300AF856">
            <w:pPr>
              <w:autoSpaceDE w:val="0"/>
              <w:snapToGrid w:val="0"/>
              <w:spacing w:line="360" w:lineRule="auto"/>
              <w:ind w:left="0" w:leftChars="0" w:firstLine="0" w:firstLineChars="0"/>
              <w:jc w:val="center"/>
              <w:rPr>
                <w:rFonts w:hint="eastAsia" w:ascii="宋体" w:hAnsi="宋体" w:eastAsia="宋体" w:cs="Times New Roman"/>
                <w:sz w:val="22"/>
                <w:highlight w:val="none"/>
                <w:lang w:eastAsia="zh-CN"/>
                <w14:ligatures w14:val="none"/>
              </w:rPr>
            </w:pPr>
            <w:r>
              <w:rPr>
                <w:rFonts w:hint="eastAsia" w:ascii="宋体" w:hAnsi="宋体" w:eastAsia="宋体" w:cs="Times New Roman"/>
                <w:sz w:val="22"/>
                <w:highlight w:val="none"/>
                <w:lang w:val="en-US" w:eastAsia="zh-CN"/>
                <w14:ligatures w14:val="none"/>
              </w:rPr>
              <w:t>3</w:t>
            </w:r>
          </w:p>
        </w:tc>
      </w:tr>
      <w:tr w14:paraId="2D47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81" w:type="dxa"/>
            <w:vMerge w:val="continue"/>
            <w:tcBorders>
              <w:top w:val="nil"/>
              <w:left w:val="single" w:color="auto" w:sz="4" w:space="0"/>
              <w:bottom w:val="single" w:color="auto" w:sz="4" w:space="0"/>
              <w:right w:val="single" w:color="auto" w:sz="4" w:space="0"/>
            </w:tcBorders>
            <w:vAlign w:val="center"/>
          </w:tcPr>
          <w:p w14:paraId="1F5A563C">
            <w:pPr>
              <w:widowControl/>
              <w:jc w:val="left"/>
              <w:rPr>
                <w:rFonts w:ascii="宋体" w:hAnsi="宋体" w:eastAsia="宋体" w:cs="Times New Roman"/>
                <w:kern w:val="0"/>
                <w:sz w:val="22"/>
                <w:highlight w:val="none"/>
                <w14:ligatures w14: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7AAF99C">
            <w:pPr>
              <w:autoSpaceDE w:val="0"/>
              <w:snapToGrid w:val="0"/>
              <w:spacing w:line="360" w:lineRule="auto"/>
              <w:ind w:left="0" w:leftChars="0" w:firstLine="0" w:firstLineChars="0"/>
              <w:jc w:val="both"/>
              <w:rPr>
                <w:rFonts w:hint="eastAsia" w:ascii="宋体" w:hAnsi="宋体" w:eastAsia="宋体" w:cs="Times New Roman"/>
                <w:sz w:val="22"/>
                <w:highlight w:val="none"/>
                <w14:ligatures w14:val="none"/>
              </w:rPr>
            </w:pPr>
            <w:r>
              <w:rPr>
                <w:rFonts w:hint="eastAsia" w:ascii="宋体" w:hAnsi="宋体" w:eastAsia="宋体" w:cs="Times New Roman"/>
                <w:sz w:val="22"/>
                <w:highlight w:val="none"/>
                <w14:ligatures w14:val="none"/>
              </w:rPr>
              <w:t>质保时间</w:t>
            </w:r>
          </w:p>
        </w:tc>
        <w:tc>
          <w:tcPr>
            <w:tcW w:w="6570" w:type="dxa"/>
            <w:tcBorders>
              <w:top w:val="single" w:color="auto" w:sz="4" w:space="0"/>
              <w:left w:val="single" w:color="auto" w:sz="4" w:space="0"/>
              <w:bottom w:val="single" w:color="auto" w:sz="4" w:space="0"/>
              <w:right w:val="single" w:color="auto" w:sz="4" w:space="0"/>
            </w:tcBorders>
            <w:vAlign w:val="center"/>
          </w:tcPr>
          <w:p w14:paraId="2536D042">
            <w:pPr>
              <w:autoSpaceDE w:val="0"/>
              <w:spacing w:line="360" w:lineRule="auto"/>
              <w:jc w:val="left"/>
              <w:rPr>
                <w:rFonts w:hint="eastAsia" w:ascii="宋体" w:hAnsi="宋体" w:eastAsia="宋体" w:cs="Times New Roman"/>
                <w:b/>
                <w:bCs/>
                <w:sz w:val="22"/>
                <w:highlight w:val="none"/>
                <w14:ligatures w14:val="none"/>
              </w:rPr>
            </w:pPr>
            <w:r>
              <w:rPr>
                <w:rFonts w:hint="eastAsia" w:ascii="宋体" w:hAnsi="宋体" w:eastAsia="宋体" w:cs="Times New Roman"/>
                <w:kern w:val="0"/>
                <w:sz w:val="22"/>
                <w:highlight w:val="none"/>
                <w14:ligatures w14:val="none"/>
              </w:rPr>
              <w:t>供应商承诺质保期在</w:t>
            </w:r>
            <w:r>
              <w:rPr>
                <w:rFonts w:hint="eastAsia" w:ascii="宋体" w:hAnsi="宋体" w:eastAsia="宋体" w:cs="Times New Roman"/>
                <w:kern w:val="0"/>
                <w:sz w:val="22"/>
                <w:highlight w:val="none"/>
                <w:lang w:val="en-US" w:eastAsia="zh-CN"/>
                <w14:ligatures w14:val="none"/>
              </w:rPr>
              <w:t>1</w:t>
            </w:r>
            <w:r>
              <w:rPr>
                <w:rFonts w:hint="eastAsia" w:ascii="宋体" w:hAnsi="宋体" w:eastAsia="宋体" w:cs="Times New Roman"/>
                <w:kern w:val="0"/>
                <w:sz w:val="22"/>
                <w:highlight w:val="none"/>
                <w14:ligatures w14:val="none"/>
              </w:rPr>
              <w:t>年的基础上（自采购人在货物质量验收单上签字之日起计算，</w:t>
            </w:r>
            <w:r>
              <w:rPr>
                <w:rFonts w:hint="eastAsia" w:ascii="宋体" w:hAnsi="宋体" w:eastAsia="宋体" w:cs="Times New Roman"/>
                <w:sz w:val="22"/>
                <w:highlight w:val="none"/>
                <w14:ligatures w14:val="none"/>
              </w:rPr>
              <w:t>质保承诺低于</w:t>
            </w:r>
            <w:r>
              <w:rPr>
                <w:rFonts w:hint="eastAsia" w:ascii="宋体" w:hAnsi="宋体" w:eastAsia="宋体" w:cs="Times New Roman"/>
                <w:sz w:val="22"/>
                <w:highlight w:val="none"/>
                <w:lang w:val="en-US" w:eastAsia="zh-CN"/>
                <w14:ligatures w14:val="none"/>
              </w:rPr>
              <w:t>壹</w:t>
            </w:r>
            <w:r>
              <w:rPr>
                <w:rFonts w:hint="eastAsia" w:ascii="宋体" w:hAnsi="宋体" w:eastAsia="宋体" w:cs="Times New Roman"/>
                <w:sz w:val="22"/>
                <w:highlight w:val="none"/>
                <w14:ligatures w14:val="none"/>
              </w:rPr>
              <w:t>年的按废标处理。</w:t>
            </w:r>
            <w:r>
              <w:rPr>
                <w:rFonts w:hint="eastAsia" w:ascii="宋体" w:hAnsi="宋体" w:eastAsia="宋体" w:cs="Times New Roman"/>
                <w:kern w:val="0"/>
                <w:sz w:val="22"/>
                <w:highlight w:val="none"/>
                <w14:ligatures w14:val="none"/>
              </w:rPr>
              <w:t>），质保期每增加1年的得</w:t>
            </w:r>
            <w:r>
              <w:rPr>
                <w:rFonts w:hint="eastAsia" w:ascii="宋体" w:hAnsi="宋体" w:eastAsia="宋体" w:cs="Times New Roman"/>
                <w:kern w:val="0"/>
                <w:sz w:val="22"/>
                <w:highlight w:val="none"/>
                <w:lang w:val="en-US" w:eastAsia="zh-CN"/>
                <w14:ligatures w14:val="none"/>
              </w:rPr>
              <w:t>3</w:t>
            </w:r>
            <w:r>
              <w:rPr>
                <w:rFonts w:hint="eastAsia" w:ascii="宋体" w:hAnsi="宋体" w:eastAsia="宋体" w:cs="Times New Roman"/>
                <w:kern w:val="0"/>
                <w:sz w:val="22"/>
                <w:highlight w:val="none"/>
                <w14:ligatures w14:val="none"/>
              </w:rPr>
              <w:t>分，最多得</w:t>
            </w:r>
            <w:r>
              <w:rPr>
                <w:rFonts w:hint="eastAsia" w:ascii="宋体" w:hAnsi="宋体" w:eastAsia="宋体" w:cs="Times New Roman"/>
                <w:kern w:val="0"/>
                <w:sz w:val="22"/>
                <w:highlight w:val="none"/>
                <w:lang w:val="en-US" w:eastAsia="zh-CN"/>
                <w14:ligatures w14:val="none"/>
              </w:rPr>
              <w:t>6</w:t>
            </w:r>
            <w:r>
              <w:rPr>
                <w:rFonts w:hint="eastAsia" w:ascii="宋体" w:hAnsi="宋体" w:eastAsia="宋体" w:cs="Times New Roman"/>
                <w:kern w:val="0"/>
                <w:sz w:val="22"/>
                <w:highlight w:val="none"/>
                <w14:ligatures w14:val="none"/>
              </w:rPr>
              <w:t>分。（提供承诺书，格式自拟）</w:t>
            </w:r>
          </w:p>
        </w:tc>
        <w:tc>
          <w:tcPr>
            <w:tcW w:w="818" w:type="dxa"/>
            <w:tcBorders>
              <w:top w:val="single" w:color="auto" w:sz="4" w:space="0"/>
              <w:left w:val="single" w:color="auto" w:sz="4" w:space="0"/>
              <w:bottom w:val="single" w:color="auto" w:sz="4" w:space="0"/>
              <w:right w:val="single" w:color="auto" w:sz="4" w:space="0"/>
            </w:tcBorders>
            <w:vAlign w:val="center"/>
          </w:tcPr>
          <w:p w14:paraId="42E02DBF">
            <w:pPr>
              <w:autoSpaceDE w:val="0"/>
              <w:snapToGrid w:val="0"/>
              <w:spacing w:line="360" w:lineRule="auto"/>
              <w:ind w:left="0" w:leftChars="0" w:firstLine="0" w:firstLineChars="0"/>
              <w:jc w:val="center"/>
              <w:rPr>
                <w:rFonts w:hint="eastAsia" w:ascii="宋体" w:hAnsi="宋体" w:eastAsia="宋体" w:cs="Times New Roman"/>
                <w:sz w:val="22"/>
                <w:highlight w:val="none"/>
                <w:lang w:eastAsia="zh-CN"/>
                <w14:ligatures w14:val="none"/>
              </w:rPr>
            </w:pPr>
            <w:r>
              <w:rPr>
                <w:rFonts w:hint="eastAsia" w:ascii="宋体" w:hAnsi="宋体" w:eastAsia="宋体" w:cs="Times New Roman"/>
                <w:sz w:val="22"/>
                <w:highlight w:val="none"/>
                <w:lang w:val="en-US" w:eastAsia="zh-CN"/>
                <w14:ligatures w14:val="none"/>
              </w:rPr>
              <w:t>6</w:t>
            </w:r>
          </w:p>
        </w:tc>
      </w:tr>
      <w:tr w14:paraId="71A4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1181" w:type="dxa"/>
            <w:vMerge w:val="continue"/>
            <w:tcBorders>
              <w:top w:val="nil"/>
              <w:left w:val="single" w:color="auto" w:sz="4" w:space="0"/>
              <w:bottom w:val="single" w:color="auto" w:sz="4" w:space="0"/>
              <w:right w:val="single" w:color="auto" w:sz="4" w:space="0"/>
            </w:tcBorders>
            <w:vAlign w:val="center"/>
          </w:tcPr>
          <w:p w14:paraId="379AE9C5">
            <w:pPr>
              <w:widowControl/>
              <w:jc w:val="left"/>
              <w:rPr>
                <w:rFonts w:ascii="宋体" w:hAnsi="宋体" w:eastAsia="宋体" w:cs="Times New Roman"/>
                <w:kern w:val="0"/>
                <w:sz w:val="22"/>
                <w:highlight w:val="none"/>
                <w14:ligatures w14: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D06F1E6">
            <w:pPr>
              <w:autoSpaceDE w:val="0"/>
              <w:snapToGrid w:val="0"/>
              <w:spacing w:line="360" w:lineRule="auto"/>
              <w:ind w:left="0" w:leftChars="0" w:firstLine="0" w:firstLineChars="0"/>
              <w:jc w:val="both"/>
              <w:rPr>
                <w:rFonts w:hint="eastAsia" w:ascii="宋体" w:hAnsi="宋体" w:eastAsia="宋体" w:cs="Times New Roman"/>
                <w:sz w:val="22"/>
                <w:highlight w:val="none"/>
                <w14:ligatures w14:val="none"/>
              </w:rPr>
            </w:pPr>
            <w:r>
              <w:rPr>
                <w:rFonts w:hint="eastAsia" w:ascii="宋体" w:hAnsi="宋体" w:eastAsia="宋体" w:cs="Times New Roman"/>
                <w:sz w:val="22"/>
                <w:highlight w:val="none"/>
                <w14:ligatures w14:val="none"/>
              </w:rPr>
              <w:t>同类业绩</w:t>
            </w:r>
          </w:p>
        </w:tc>
        <w:tc>
          <w:tcPr>
            <w:tcW w:w="6570" w:type="dxa"/>
            <w:tcBorders>
              <w:top w:val="single" w:color="auto" w:sz="4" w:space="0"/>
              <w:left w:val="single" w:color="auto" w:sz="4" w:space="0"/>
              <w:bottom w:val="single" w:color="auto" w:sz="4" w:space="0"/>
              <w:right w:val="single" w:color="auto" w:sz="4" w:space="0"/>
            </w:tcBorders>
            <w:vAlign w:val="center"/>
          </w:tcPr>
          <w:p w14:paraId="1E7ADB66">
            <w:pPr>
              <w:autoSpaceDE w:val="0"/>
              <w:spacing w:line="360" w:lineRule="auto"/>
              <w:jc w:val="left"/>
              <w:rPr>
                <w:rFonts w:hint="eastAsia" w:ascii="宋体" w:hAnsi="宋体" w:eastAsia="宋体" w:cs="Times New Roman"/>
                <w:kern w:val="0"/>
                <w:sz w:val="22"/>
                <w:highlight w:val="none"/>
                <w14:ligatures w14:val="none"/>
              </w:rPr>
            </w:pPr>
            <w:r>
              <w:rPr>
                <w:rFonts w:hint="eastAsia" w:ascii="宋体" w:hAnsi="宋体" w:eastAsia="宋体" w:cs="Times New Roman"/>
                <w:kern w:val="0"/>
                <w:sz w:val="22"/>
                <w:highlight w:val="none"/>
                <w14:ligatures w14:val="none"/>
              </w:rPr>
              <w:t>投标人2022年1月1日至今（以签订合同时间为准）完成的厨房设施设备采购类项目业绩，</w:t>
            </w:r>
            <w:r>
              <w:rPr>
                <w:rFonts w:hint="eastAsia" w:ascii="宋体" w:hAnsi="宋体" w:eastAsia="宋体" w:cs="Times New Roman"/>
                <w:sz w:val="24"/>
                <w:szCs w:val="24"/>
                <w:highlight w:val="none"/>
                <w14:ligatures w14:val="none"/>
              </w:rPr>
              <w:t>投标时提供中标</w:t>
            </w:r>
            <w:r>
              <w:rPr>
                <w:rFonts w:hint="eastAsia" w:ascii="宋体" w:hAnsi="宋体" w:eastAsia="宋体" w:cs="Times New Roman"/>
                <w:kern w:val="0"/>
                <w:sz w:val="22"/>
                <w:highlight w:val="none"/>
                <w14:ligatures w14:val="none"/>
              </w:rPr>
              <w:t>（成交）</w:t>
            </w:r>
            <w:r>
              <w:rPr>
                <w:rFonts w:hint="eastAsia" w:ascii="宋体" w:hAnsi="宋体" w:eastAsia="宋体" w:cs="Times New Roman"/>
                <w:sz w:val="24"/>
                <w:szCs w:val="24"/>
                <w:highlight w:val="none"/>
                <w14:ligatures w14:val="none"/>
              </w:rPr>
              <w:t>通知书、供货合同和发票复印件或扫描件，三者缺一不可。</w:t>
            </w:r>
            <w:r>
              <w:rPr>
                <w:rFonts w:hint="eastAsia" w:ascii="宋体" w:hAnsi="宋体" w:eastAsia="宋体" w:cs="Times New Roman"/>
                <w:kern w:val="0"/>
                <w:sz w:val="22"/>
                <w:highlight w:val="none"/>
                <w14:ligatures w14:val="none"/>
              </w:rPr>
              <w:t>每提供一个完整合同业绩得</w:t>
            </w:r>
            <w:r>
              <w:rPr>
                <w:rFonts w:hint="eastAsia" w:ascii="宋体" w:hAnsi="宋体" w:eastAsia="宋体" w:cs="Times New Roman"/>
                <w:kern w:val="0"/>
                <w:sz w:val="22"/>
                <w:highlight w:val="none"/>
                <w:lang w:val="en-US" w:eastAsia="zh-CN"/>
                <w14:ligatures w14:val="none"/>
              </w:rPr>
              <w:t>3</w:t>
            </w:r>
            <w:r>
              <w:rPr>
                <w:rFonts w:hint="eastAsia" w:ascii="宋体" w:hAnsi="宋体" w:eastAsia="宋体" w:cs="Times New Roman"/>
                <w:kern w:val="0"/>
                <w:sz w:val="22"/>
                <w:highlight w:val="none"/>
                <w14:ligatures w14:val="none"/>
              </w:rPr>
              <w:t>分，本项最高得</w:t>
            </w:r>
            <w:r>
              <w:rPr>
                <w:rFonts w:hint="eastAsia" w:ascii="宋体" w:hAnsi="宋体" w:eastAsia="宋体" w:cs="Times New Roman"/>
                <w:kern w:val="0"/>
                <w:sz w:val="22"/>
                <w:highlight w:val="none"/>
                <w:lang w:val="en-US" w:eastAsia="zh-CN"/>
                <w14:ligatures w14:val="none"/>
              </w:rPr>
              <w:t>9</w:t>
            </w:r>
            <w:r>
              <w:rPr>
                <w:rFonts w:hint="eastAsia" w:ascii="宋体" w:hAnsi="宋体" w:eastAsia="宋体" w:cs="Times New Roman"/>
                <w:kern w:val="0"/>
                <w:sz w:val="22"/>
                <w:highlight w:val="none"/>
                <w14:ligatures w14:val="none"/>
              </w:rPr>
              <w:t>分。</w:t>
            </w:r>
          </w:p>
          <w:p w14:paraId="6A3F9F89">
            <w:pPr>
              <w:autoSpaceDE w:val="0"/>
              <w:spacing w:line="360" w:lineRule="auto"/>
              <w:jc w:val="left"/>
              <w:rPr>
                <w:rFonts w:hint="eastAsia" w:ascii="宋体" w:hAnsi="宋体" w:eastAsia="宋体" w:cs="Times New Roman"/>
                <w:b/>
                <w:bCs/>
                <w:sz w:val="22"/>
                <w:highlight w:val="none"/>
                <w14:ligatures w14:val="none"/>
              </w:rPr>
            </w:pPr>
            <w:r>
              <w:rPr>
                <w:rFonts w:hint="eastAsia" w:ascii="宋体" w:hAnsi="宋体" w:eastAsia="宋体" w:cs="Times New Roman"/>
                <w:sz w:val="22"/>
                <w:highlight w:val="none"/>
                <w14:ligatures w14:val="none"/>
              </w:rPr>
              <w:t>注：</w:t>
            </w:r>
            <w:r>
              <w:rPr>
                <w:rFonts w:hint="eastAsia" w:ascii="宋体" w:hAnsi="宋体" w:eastAsia="宋体" w:cs="Times New Roman"/>
                <w:kern w:val="0"/>
                <w:sz w:val="22"/>
                <w:highlight w:val="none"/>
                <w14:ligatures w14:val="none"/>
              </w:rPr>
              <w:t>须提供中标（成交）通知书及合同和发票复印件或扫描件，加盖投标人公章，未提供合同或提供无关合同的不得分。</w:t>
            </w:r>
            <w:r>
              <w:rPr>
                <w:rFonts w:hint="eastAsia" w:ascii="宋体" w:hAnsi="宋体" w:eastAsia="宋体" w:cs="Times New Roman"/>
                <w:b/>
                <w:bCs/>
                <w:kern w:val="0"/>
                <w:sz w:val="22"/>
                <w:highlight w:val="none"/>
                <w14:ligatures w14:val="none"/>
              </w:rPr>
              <w:t>投标人同类业绩需提供原件核查，不能按要求提供原件者，评分时不得分。</w:t>
            </w:r>
          </w:p>
        </w:tc>
        <w:tc>
          <w:tcPr>
            <w:tcW w:w="818" w:type="dxa"/>
            <w:tcBorders>
              <w:top w:val="single" w:color="auto" w:sz="4" w:space="0"/>
              <w:left w:val="single" w:color="auto" w:sz="4" w:space="0"/>
              <w:bottom w:val="single" w:color="auto" w:sz="4" w:space="0"/>
              <w:right w:val="single" w:color="auto" w:sz="4" w:space="0"/>
            </w:tcBorders>
            <w:vAlign w:val="center"/>
          </w:tcPr>
          <w:p w14:paraId="25D82F8D">
            <w:pPr>
              <w:autoSpaceDE w:val="0"/>
              <w:snapToGrid w:val="0"/>
              <w:spacing w:line="360" w:lineRule="auto"/>
              <w:ind w:left="0" w:leftChars="0" w:firstLine="0" w:firstLineChars="0"/>
              <w:jc w:val="center"/>
              <w:rPr>
                <w:rFonts w:hint="eastAsia" w:ascii="宋体" w:hAnsi="宋体" w:eastAsia="宋体" w:cs="Times New Roman"/>
                <w:sz w:val="22"/>
                <w:highlight w:val="none"/>
                <w:lang w:eastAsia="zh-CN"/>
                <w14:ligatures w14:val="none"/>
              </w:rPr>
            </w:pPr>
            <w:r>
              <w:rPr>
                <w:rFonts w:hint="eastAsia" w:ascii="宋体" w:hAnsi="宋体" w:eastAsia="宋体" w:cs="Times New Roman"/>
                <w:sz w:val="22"/>
                <w:highlight w:val="none"/>
                <w:lang w:val="en-US" w:eastAsia="zh-CN"/>
                <w14:ligatures w14:val="none"/>
              </w:rPr>
              <w:t>9</w:t>
            </w:r>
          </w:p>
        </w:tc>
      </w:tr>
    </w:tbl>
    <w:p w14:paraId="38F741AA">
      <w:pPr>
        <w:keepNext w:val="0"/>
        <w:keepLines w:val="0"/>
        <w:pageBreakBefore w:val="0"/>
        <w:widowControl w:val="0"/>
        <w:kinsoku/>
        <w:wordWrap/>
        <w:overflowPunct/>
        <w:topLinePunct w:val="0"/>
        <w:autoSpaceDE/>
        <w:autoSpaceDN/>
        <w:bidi w:val="0"/>
        <w:adjustRightInd w:val="0"/>
        <w:snapToGrid w:val="0"/>
        <w:spacing w:line="440" w:lineRule="exact"/>
        <w:ind w:firstLine="650" w:firstLineChars="250"/>
        <w:jc w:val="left"/>
        <w:textAlignment w:val="auto"/>
        <w:rPr>
          <w:rFonts w:hint="eastAsia" w:ascii="宋体" w:hAnsi="宋体"/>
          <w:sz w:val="26"/>
          <w:szCs w:val="26"/>
          <w:highlight w:val="none"/>
        </w:rPr>
      </w:pPr>
      <w:r>
        <w:rPr>
          <w:rFonts w:ascii="宋体" w:hAnsi="宋体"/>
          <w:sz w:val="26"/>
          <w:szCs w:val="26"/>
          <w:highlight w:val="none"/>
        </w:rPr>
        <w:t>各投标人得分为评委会成员评分的算术平均分，分值保留小数点后两位。</w:t>
      </w:r>
    </w:p>
    <w:p w14:paraId="19538480">
      <w:pPr>
        <w:ind w:firstLine="723" w:firstLineChars="300"/>
        <w:rPr>
          <w:rFonts w:ascii="宋体" w:hAnsi="宋体" w:cs="宋体"/>
          <w:b/>
          <w:bCs/>
          <w:color w:val="auto"/>
          <w:highlight w:val="none"/>
        </w:rPr>
      </w:pPr>
      <w:r>
        <w:rPr>
          <w:rFonts w:hint="eastAsia" w:ascii="宋体" w:hAnsi="宋体" w:cs="宋体"/>
          <w:b/>
          <w:bCs/>
          <w:color w:val="auto"/>
          <w:highlight w:val="none"/>
          <w:lang w:val="en-US" w:eastAsia="zh-CN"/>
        </w:rPr>
        <w:t>注：</w:t>
      </w:r>
      <w:r>
        <w:rPr>
          <w:rFonts w:hint="eastAsia" w:ascii="宋体" w:hAnsi="宋体" w:cs="宋体"/>
          <w:b/>
          <w:bCs/>
          <w:color w:val="auto"/>
          <w:highlight w:val="none"/>
        </w:rPr>
        <w:t>1.以上评分标准提供的材料均须提供</w:t>
      </w:r>
      <w:r>
        <w:rPr>
          <w:rFonts w:hint="eastAsia" w:ascii="宋体" w:hAnsi="宋体" w:cs="宋体"/>
          <w:b/>
          <w:bCs/>
          <w:color w:val="auto"/>
          <w:highlight w:val="none"/>
          <w:lang w:val="en-US" w:eastAsia="zh-CN"/>
        </w:rPr>
        <w:t>复印件</w:t>
      </w:r>
      <w:r>
        <w:rPr>
          <w:rFonts w:hint="eastAsia" w:ascii="宋体" w:hAnsi="宋体" w:cs="宋体"/>
          <w:b/>
          <w:bCs/>
          <w:color w:val="auto"/>
          <w:highlight w:val="none"/>
        </w:rPr>
        <w:t>加盖</w:t>
      </w:r>
      <w:r>
        <w:rPr>
          <w:rFonts w:hint="eastAsia" w:ascii="宋体" w:hAnsi="宋体" w:cs="宋体"/>
          <w:b/>
          <w:bCs/>
          <w:color w:val="auto"/>
          <w:highlight w:val="none"/>
          <w:lang w:val="en-US" w:eastAsia="zh-CN"/>
        </w:rPr>
        <w:t>投标人</w:t>
      </w:r>
      <w:r>
        <w:rPr>
          <w:rFonts w:hint="eastAsia" w:ascii="宋体" w:hAnsi="宋体" w:cs="宋体"/>
          <w:b/>
          <w:bCs/>
          <w:color w:val="auto"/>
          <w:highlight w:val="none"/>
        </w:rPr>
        <w:t>公章，否则相应条款不得分；</w:t>
      </w:r>
    </w:p>
    <w:p w14:paraId="2CA37D0D">
      <w:pPr>
        <w:ind w:firstLine="1205" w:firstLineChars="500"/>
        <w:rPr>
          <w:rFonts w:ascii="宋体" w:hAnsi="宋体" w:cs="宋体"/>
          <w:b/>
          <w:bCs/>
          <w:color w:val="auto"/>
          <w:highlight w:val="none"/>
        </w:rPr>
      </w:pPr>
      <w:r>
        <w:rPr>
          <w:rFonts w:hint="eastAsia" w:ascii="宋体" w:hAnsi="宋体" w:cs="宋体"/>
          <w:b/>
          <w:bCs/>
          <w:color w:val="auto"/>
          <w:highlight w:val="none"/>
        </w:rPr>
        <w:t>2.请各投标人参照采购文件的要求格式、内容，顺序制作投标文件，并请编制目录及页码，以最大限度的避免造成评委误判或漏判。</w:t>
      </w:r>
    </w:p>
    <w:p w14:paraId="19E80F67">
      <w:pPr>
        <w:pStyle w:val="2"/>
        <w:keepNext w:val="0"/>
        <w:rPr>
          <w:rFonts w:hint="eastAsia" w:ascii="宋体" w:hAnsi="宋体" w:cs="宋体"/>
          <w:color w:val="auto"/>
          <w:sz w:val="40"/>
          <w:highlight w:val="none"/>
        </w:rPr>
        <w:sectPr>
          <w:pgSz w:w="11907" w:h="16838"/>
          <w:pgMar w:top="1418" w:right="1129" w:bottom="1418" w:left="1278" w:header="851" w:footer="992" w:gutter="0"/>
          <w:pgNumType w:fmt="decimal"/>
          <w:cols w:space="720" w:num="1"/>
          <w:titlePg/>
          <w:docGrid w:linePitch="318" w:charSpace="0"/>
        </w:sectPr>
      </w:pPr>
      <w:bookmarkStart w:id="73" w:name="_Toc124108549"/>
      <w:bookmarkStart w:id="74" w:name="_Toc109381856"/>
    </w:p>
    <w:p w14:paraId="246652D8">
      <w:pPr>
        <w:pStyle w:val="2"/>
        <w:keepNext w:val="0"/>
        <w:rPr>
          <w:rFonts w:ascii="宋体" w:hAnsi="宋体" w:cs="宋体"/>
          <w:color w:val="auto"/>
          <w:sz w:val="40"/>
          <w:highlight w:val="none"/>
        </w:rPr>
      </w:pPr>
      <w:r>
        <w:rPr>
          <w:rFonts w:hint="eastAsia" w:ascii="宋体" w:hAnsi="宋体" w:cs="宋体"/>
          <w:color w:val="auto"/>
          <w:sz w:val="40"/>
          <w:highlight w:val="none"/>
        </w:rPr>
        <w:t>第五章 投 标 格 式</w:t>
      </w:r>
      <w:bookmarkEnd w:id="73"/>
      <w:bookmarkEnd w:id="74"/>
    </w:p>
    <w:p w14:paraId="0484F1D4">
      <w:pP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封面参考格式</w:t>
      </w:r>
    </w:p>
    <w:bookmarkEnd w:id="68"/>
    <w:bookmarkEnd w:id="69"/>
    <w:bookmarkEnd w:id="70"/>
    <w:p w14:paraId="09D66729">
      <w:pPr>
        <w:pStyle w:val="49"/>
        <w:ind w:firstLine="723"/>
        <w:rPr>
          <w:rFonts w:hint="eastAsia" w:cs="宋体"/>
          <w:b/>
          <w:color w:val="auto"/>
          <w:sz w:val="36"/>
          <w:szCs w:val="36"/>
          <w:highlight w:val="none"/>
          <w:lang w:val="en-US" w:eastAsia="zh-CN"/>
        </w:rPr>
      </w:pPr>
      <w:r>
        <w:rPr>
          <w:rFonts w:hint="eastAsia" w:cs="宋体"/>
          <w:b/>
          <w:color w:val="auto"/>
          <w:sz w:val="36"/>
          <w:szCs w:val="36"/>
          <w:highlight w:val="none"/>
          <w:lang w:val="en-US" w:eastAsia="zh-CN"/>
        </w:rPr>
        <w:t xml:space="preserve"> </w:t>
      </w:r>
    </w:p>
    <w:p w14:paraId="48648E93">
      <w:pPr>
        <w:pStyle w:val="49"/>
        <w:ind w:firstLine="723"/>
        <w:rPr>
          <w:rFonts w:hint="eastAsia" w:cs="宋体"/>
          <w:b/>
          <w:color w:val="auto"/>
          <w:sz w:val="36"/>
          <w:szCs w:val="36"/>
          <w:highlight w:val="none"/>
          <w:lang w:val="en-US" w:eastAsia="zh-CN"/>
        </w:rPr>
      </w:pPr>
    </w:p>
    <w:p w14:paraId="1465AFF5">
      <w:pPr>
        <w:pStyle w:val="49"/>
        <w:ind w:firstLine="723"/>
        <w:rPr>
          <w:rFonts w:cs="宋体"/>
          <w:color w:val="auto"/>
          <w:highlight w:val="none"/>
        </w:rPr>
      </w:pPr>
      <w:r>
        <w:rPr>
          <w:rFonts w:hint="eastAsia" w:cs="宋体"/>
          <w:b/>
          <w:color w:val="auto"/>
          <w:sz w:val="36"/>
          <w:szCs w:val="36"/>
          <w:highlight w:val="none"/>
        </w:rPr>
        <w:t xml:space="preserve"> </w:t>
      </w:r>
    </w:p>
    <w:p w14:paraId="1C1C129D">
      <w:pPr>
        <w:rPr>
          <w:rFonts w:ascii="宋体" w:hAnsi="宋体" w:cs="宋体"/>
          <w:color w:val="auto"/>
          <w:highlight w:val="none"/>
        </w:rPr>
      </w:pPr>
    </w:p>
    <w:p w14:paraId="7C02C4E2">
      <w:pPr>
        <w:ind w:firstLine="723" w:firstLineChars="100"/>
        <w:rPr>
          <w:rFonts w:ascii="宋体" w:hAnsi="宋体" w:cs="宋体"/>
          <w:b/>
          <w:color w:val="auto"/>
          <w:sz w:val="72"/>
          <w:highlight w:val="none"/>
        </w:rPr>
      </w:pPr>
      <w:r>
        <w:rPr>
          <w:rFonts w:hint="eastAsia" w:ascii="宋体" w:hAnsi="宋体" w:cs="宋体"/>
          <w:b/>
          <w:color w:val="auto"/>
          <w:sz w:val="72"/>
          <w:highlight w:val="none"/>
        </w:rPr>
        <w:t>投  标  响  应  文  件</w:t>
      </w:r>
    </w:p>
    <w:p w14:paraId="1332A043">
      <w:pPr>
        <w:ind w:firstLine="1446"/>
        <w:jc w:val="center"/>
        <w:rPr>
          <w:rFonts w:ascii="宋体" w:hAnsi="宋体" w:cs="宋体"/>
          <w:b/>
          <w:color w:val="auto"/>
          <w:sz w:val="72"/>
          <w:highlight w:val="none"/>
        </w:rPr>
      </w:pPr>
    </w:p>
    <w:p w14:paraId="2D5F9261">
      <w:pPr>
        <w:pStyle w:val="18"/>
        <w:rPr>
          <w:color w:val="auto"/>
          <w:highlight w:val="none"/>
        </w:rPr>
      </w:pPr>
    </w:p>
    <w:p w14:paraId="183ADB0C">
      <w:pPr>
        <w:ind w:firstLine="723"/>
        <w:jc w:val="center"/>
        <w:rPr>
          <w:rFonts w:ascii="宋体" w:hAnsi="宋体" w:cs="宋体"/>
          <w:b/>
          <w:color w:val="auto"/>
          <w:sz w:val="36"/>
          <w:highlight w:val="none"/>
        </w:rPr>
      </w:pPr>
    </w:p>
    <w:p w14:paraId="24F21162">
      <w:pPr>
        <w:ind w:firstLine="0" w:firstLineChars="0"/>
        <w:rPr>
          <w:rFonts w:ascii="宋体" w:hAnsi="宋体" w:cs="宋体"/>
          <w:b/>
          <w:color w:val="auto"/>
          <w:sz w:val="36"/>
          <w:highlight w:val="none"/>
        </w:rPr>
      </w:pPr>
    </w:p>
    <w:p w14:paraId="7591B504">
      <w:pPr>
        <w:ind w:firstLine="2349" w:firstLineChars="650"/>
        <w:rPr>
          <w:rFonts w:ascii="宋体" w:hAnsi="宋体" w:cs="宋体"/>
          <w:b/>
          <w:color w:val="auto"/>
          <w:sz w:val="36"/>
          <w:highlight w:val="none"/>
        </w:rPr>
      </w:pPr>
    </w:p>
    <w:p w14:paraId="71DA412D">
      <w:pPr>
        <w:ind w:firstLine="723"/>
        <w:rPr>
          <w:rFonts w:ascii="宋体" w:hAnsi="宋体" w:cs="宋体"/>
          <w:b/>
          <w:color w:val="auto"/>
          <w:sz w:val="36"/>
          <w:highlight w:val="none"/>
          <w:u w:val="single"/>
        </w:rPr>
      </w:pPr>
      <w:r>
        <w:rPr>
          <w:rFonts w:hint="eastAsia" w:ascii="宋体" w:hAnsi="宋体" w:cs="宋体"/>
          <w:b/>
          <w:color w:val="auto"/>
          <w:sz w:val="36"/>
          <w:highlight w:val="none"/>
        </w:rPr>
        <w:t>项 目 名 称：</w:t>
      </w:r>
      <w:r>
        <w:rPr>
          <w:rFonts w:hint="eastAsia" w:ascii="宋体" w:hAnsi="宋体" w:cs="宋体"/>
          <w:b/>
          <w:color w:val="auto"/>
          <w:sz w:val="36"/>
          <w:highlight w:val="none"/>
          <w:u w:val="single"/>
        </w:rPr>
        <w:t xml:space="preserve">                        </w:t>
      </w:r>
    </w:p>
    <w:p w14:paraId="5D035CBF">
      <w:pPr>
        <w:ind w:firstLine="723"/>
        <w:rPr>
          <w:rFonts w:ascii="宋体" w:hAnsi="宋体" w:cs="宋体"/>
          <w:b/>
          <w:color w:val="auto"/>
          <w:sz w:val="36"/>
          <w:highlight w:val="none"/>
        </w:rPr>
      </w:pPr>
      <w:r>
        <w:rPr>
          <w:rFonts w:hint="eastAsia" w:ascii="宋体" w:hAnsi="宋体" w:cs="宋体"/>
          <w:b/>
          <w:color w:val="auto"/>
          <w:sz w:val="36"/>
          <w:highlight w:val="none"/>
        </w:rPr>
        <w:t>采购人名称：</w:t>
      </w:r>
      <w:r>
        <w:rPr>
          <w:rFonts w:hint="eastAsia" w:ascii="宋体" w:hAnsi="宋体" w:cs="宋体"/>
          <w:b/>
          <w:color w:val="auto"/>
          <w:sz w:val="36"/>
          <w:highlight w:val="none"/>
          <w:u w:val="single"/>
        </w:rPr>
        <w:t xml:space="preserve">                        </w:t>
      </w:r>
    </w:p>
    <w:p w14:paraId="6509FFE6">
      <w:pPr>
        <w:ind w:firstLine="723"/>
        <w:rPr>
          <w:rFonts w:ascii="宋体" w:hAnsi="宋体" w:cs="宋体"/>
          <w:b/>
          <w:color w:val="auto"/>
          <w:sz w:val="36"/>
          <w:highlight w:val="none"/>
          <w:u w:val="single"/>
        </w:rPr>
      </w:pPr>
      <w:r>
        <w:rPr>
          <w:rFonts w:hint="eastAsia" w:ascii="宋体" w:hAnsi="宋体" w:cs="宋体"/>
          <w:b/>
          <w:color w:val="auto"/>
          <w:sz w:val="36"/>
          <w:highlight w:val="none"/>
        </w:rPr>
        <w:t>投标人名称 ：</w:t>
      </w:r>
      <w:r>
        <w:rPr>
          <w:rFonts w:hint="eastAsia" w:ascii="宋体" w:hAnsi="宋体" w:cs="宋体"/>
          <w:b/>
          <w:color w:val="auto"/>
          <w:sz w:val="36"/>
          <w:highlight w:val="none"/>
          <w:u w:val="single"/>
        </w:rPr>
        <w:t xml:space="preserve">                        </w:t>
      </w:r>
    </w:p>
    <w:p w14:paraId="4BAB05B4">
      <w:pPr>
        <w:ind w:firstLine="723"/>
        <w:jc w:val="left"/>
        <w:rPr>
          <w:rFonts w:ascii="宋体" w:hAnsi="宋体" w:cs="宋体"/>
          <w:color w:val="auto"/>
          <w:highlight w:val="none"/>
        </w:rPr>
      </w:pPr>
      <w:r>
        <w:rPr>
          <w:rFonts w:hint="eastAsia" w:ascii="宋体" w:hAnsi="宋体" w:cs="宋体"/>
          <w:b/>
          <w:color w:val="auto"/>
          <w:sz w:val="36"/>
          <w:highlight w:val="none"/>
        </w:rPr>
        <w:t>日      期 ：</w:t>
      </w:r>
      <w:r>
        <w:rPr>
          <w:rFonts w:hint="eastAsia" w:ascii="宋体" w:hAnsi="宋体" w:cs="宋体"/>
          <w:b/>
          <w:color w:val="auto"/>
          <w:sz w:val="36"/>
          <w:highlight w:val="none"/>
          <w:u w:val="single"/>
        </w:rPr>
        <w:t xml:space="preserve">                        </w:t>
      </w:r>
    </w:p>
    <w:p w14:paraId="7B069A7C">
      <w:pPr>
        <w:ind w:firstLine="0" w:firstLineChars="0"/>
        <w:rPr>
          <w:rFonts w:ascii="宋体" w:hAnsi="宋体" w:cs="宋体"/>
          <w:b/>
          <w:bCs/>
          <w:color w:val="auto"/>
          <w:sz w:val="28"/>
          <w:szCs w:val="28"/>
          <w:highlight w:val="none"/>
        </w:rPr>
      </w:pPr>
    </w:p>
    <w:p w14:paraId="47618DEB">
      <w:pPr>
        <w:ind w:firstLine="0" w:firstLineChars="0"/>
        <w:rPr>
          <w:rFonts w:ascii="宋体" w:hAnsi="宋体" w:cs="宋体"/>
          <w:b/>
          <w:bCs/>
          <w:color w:val="auto"/>
          <w:sz w:val="28"/>
          <w:szCs w:val="28"/>
          <w:highlight w:val="none"/>
        </w:rPr>
      </w:pPr>
    </w:p>
    <w:p w14:paraId="048E486A">
      <w:pPr>
        <w:ind w:firstLine="0" w:firstLineChars="0"/>
        <w:rPr>
          <w:rFonts w:ascii="宋体" w:hAnsi="宋体" w:cs="宋体"/>
          <w:b/>
          <w:bCs/>
          <w:color w:val="auto"/>
          <w:sz w:val="28"/>
          <w:szCs w:val="28"/>
          <w:highlight w:val="none"/>
        </w:rPr>
      </w:pPr>
    </w:p>
    <w:p w14:paraId="58BA30B9">
      <w:pPr>
        <w:spacing w:line="440" w:lineRule="exact"/>
        <w:ind w:firstLine="3694" w:firstLineChars="1150"/>
        <w:rPr>
          <w:rFonts w:hint="eastAsia" w:ascii="宋体" w:hAnsi="宋体"/>
          <w:b/>
          <w:bCs/>
          <w:color w:val="auto"/>
          <w:sz w:val="32"/>
          <w:szCs w:val="32"/>
          <w:highlight w:val="none"/>
        </w:rPr>
      </w:pPr>
    </w:p>
    <w:p w14:paraId="19601386">
      <w:pPr>
        <w:spacing w:line="440" w:lineRule="exact"/>
        <w:ind w:firstLine="3694" w:firstLineChars="1150"/>
        <w:rPr>
          <w:rFonts w:hint="eastAsia" w:ascii="宋体" w:hAnsi="宋体"/>
          <w:b/>
          <w:bCs/>
          <w:color w:val="auto"/>
          <w:sz w:val="32"/>
          <w:szCs w:val="32"/>
          <w:highlight w:val="none"/>
        </w:rPr>
      </w:pPr>
    </w:p>
    <w:p w14:paraId="07E826E2">
      <w:pPr>
        <w:spacing w:line="440" w:lineRule="exact"/>
        <w:ind w:firstLine="3694" w:firstLineChars="1150"/>
        <w:rPr>
          <w:rFonts w:hint="eastAsia" w:ascii="宋体" w:hAnsi="宋体"/>
          <w:b/>
          <w:bCs/>
          <w:color w:val="auto"/>
          <w:sz w:val="32"/>
          <w:szCs w:val="32"/>
          <w:highlight w:val="none"/>
        </w:rPr>
      </w:pPr>
    </w:p>
    <w:p w14:paraId="75342A1C">
      <w:pPr>
        <w:spacing w:line="440" w:lineRule="exact"/>
        <w:ind w:firstLine="3694" w:firstLineChars="1150"/>
        <w:rPr>
          <w:rFonts w:hint="eastAsia" w:ascii="宋体" w:hAnsi="宋体"/>
          <w:b/>
          <w:bCs/>
          <w:color w:val="auto"/>
          <w:sz w:val="32"/>
          <w:szCs w:val="32"/>
          <w:highlight w:val="none"/>
        </w:rPr>
        <w:sectPr>
          <w:footerReference r:id="rId16" w:type="first"/>
          <w:footerReference r:id="rId15" w:type="default"/>
          <w:pgSz w:w="11906" w:h="16838"/>
          <w:pgMar w:top="1134" w:right="991" w:bottom="993" w:left="993" w:header="851" w:footer="992" w:gutter="0"/>
          <w:pgNumType w:fmt="numberInDash" w:start="1"/>
          <w:cols w:space="720" w:num="1"/>
          <w:titlePg/>
          <w:docGrid w:type="lines" w:linePitch="312" w:charSpace="0"/>
        </w:sectPr>
      </w:pPr>
    </w:p>
    <w:p w14:paraId="6A6276AA">
      <w:pPr>
        <w:spacing w:line="440" w:lineRule="exact"/>
        <w:ind w:firstLine="3694" w:firstLineChars="1150"/>
        <w:rPr>
          <w:rFonts w:hint="eastAsia" w:ascii="宋体" w:hAnsi="宋体"/>
          <w:b/>
          <w:bCs/>
          <w:color w:val="auto"/>
          <w:sz w:val="32"/>
          <w:szCs w:val="32"/>
          <w:highlight w:val="none"/>
        </w:rPr>
      </w:pPr>
      <w:r>
        <w:rPr>
          <w:rFonts w:hint="eastAsia" w:ascii="宋体" w:hAnsi="宋体"/>
          <w:b/>
          <w:bCs/>
          <w:color w:val="auto"/>
          <w:sz w:val="32"/>
          <w:szCs w:val="32"/>
          <w:highlight w:val="none"/>
        </w:rPr>
        <w:t>投标主要文件目录</w:t>
      </w:r>
    </w:p>
    <w:p w14:paraId="5A3D392D">
      <w:pPr>
        <w:tabs>
          <w:tab w:val="left" w:pos="5580"/>
          <w:tab w:val="left" w:pos="8400"/>
        </w:tabs>
        <w:snapToGrid w:val="0"/>
        <w:spacing w:line="500" w:lineRule="exact"/>
        <w:ind w:firstLine="482"/>
        <w:rPr>
          <w:rFonts w:ascii="宋体" w:hAnsi="宋体"/>
          <w:b/>
          <w:sz w:val="24"/>
          <w:szCs w:val="24"/>
          <w:highlight w:val="none"/>
        </w:rPr>
      </w:pPr>
      <w:r>
        <w:rPr>
          <w:rFonts w:hint="eastAsia" w:ascii="宋体" w:hAnsi="宋体"/>
          <w:b/>
          <w:sz w:val="24"/>
          <w:szCs w:val="24"/>
          <w:highlight w:val="none"/>
        </w:rPr>
        <w:t>一、投标响应文件要求</w:t>
      </w:r>
    </w:p>
    <w:p w14:paraId="7EA72D49">
      <w:pPr>
        <w:snapToGrid w:val="0"/>
        <w:spacing w:line="500" w:lineRule="exact"/>
        <w:ind w:firstLine="482" w:firstLineChars="200"/>
        <w:rPr>
          <w:rFonts w:ascii="宋体" w:hAnsi="宋体"/>
          <w:b/>
          <w:bCs/>
          <w:sz w:val="24"/>
          <w:szCs w:val="24"/>
          <w:highlight w:val="none"/>
        </w:rPr>
      </w:pPr>
      <w:r>
        <w:rPr>
          <w:rFonts w:hint="eastAsia" w:ascii="宋体" w:hAnsi="宋体"/>
          <w:b/>
          <w:bCs/>
          <w:sz w:val="24"/>
          <w:szCs w:val="24"/>
          <w:highlight w:val="none"/>
        </w:rPr>
        <w:t>1.供应商实质性资格证明文件目录（至少应包含以下内容）：</w:t>
      </w:r>
    </w:p>
    <w:p w14:paraId="2E88051D">
      <w:pPr>
        <w:spacing w:line="500" w:lineRule="exact"/>
        <w:ind w:firstLine="480" w:firstLineChars="200"/>
        <w:rPr>
          <w:rFonts w:ascii="宋体" w:hAnsi="宋体"/>
          <w:bCs/>
          <w:sz w:val="24"/>
          <w:szCs w:val="24"/>
          <w:highlight w:val="none"/>
        </w:rPr>
      </w:pPr>
      <w:r>
        <w:rPr>
          <w:rFonts w:hint="eastAsia" w:ascii="宋体" w:hAnsi="宋体"/>
          <w:bCs/>
          <w:sz w:val="24"/>
          <w:szCs w:val="24"/>
          <w:highlight w:val="none"/>
        </w:rPr>
        <w:t>文件1   投标人符合《政府采购法》第二十二条规定条件的声明函（格式见附件一）。</w:t>
      </w:r>
    </w:p>
    <w:p w14:paraId="29104797">
      <w:pPr>
        <w:spacing w:line="500" w:lineRule="exact"/>
        <w:ind w:firstLine="480" w:firstLineChars="200"/>
        <w:rPr>
          <w:rFonts w:ascii="宋体" w:hAnsi="宋体"/>
          <w:bCs/>
          <w:sz w:val="24"/>
          <w:szCs w:val="24"/>
          <w:highlight w:val="none"/>
        </w:rPr>
      </w:pPr>
      <w:r>
        <w:rPr>
          <w:rFonts w:hint="eastAsia" w:ascii="宋体" w:hAnsi="宋体"/>
          <w:bCs/>
          <w:sz w:val="24"/>
          <w:szCs w:val="24"/>
          <w:highlight w:val="none"/>
        </w:rPr>
        <w:t>文件2   有效的工商营业执照（复印件，加盖供应商</w:t>
      </w:r>
      <w:r>
        <w:rPr>
          <w:rFonts w:hint="eastAsia" w:ascii="宋体" w:hAnsi="宋体"/>
          <w:bCs/>
          <w:sz w:val="24"/>
          <w:szCs w:val="24"/>
          <w:highlight w:val="none"/>
          <w:lang w:eastAsia="zh-CN"/>
        </w:rPr>
        <w:t>红色</w:t>
      </w:r>
      <w:r>
        <w:rPr>
          <w:rFonts w:hint="eastAsia" w:ascii="宋体" w:hAnsi="宋体"/>
          <w:bCs/>
          <w:sz w:val="24"/>
          <w:szCs w:val="24"/>
          <w:highlight w:val="none"/>
        </w:rPr>
        <w:t>公章）、投标函（加盖供应商</w:t>
      </w:r>
      <w:r>
        <w:rPr>
          <w:rFonts w:hint="eastAsia" w:ascii="宋体" w:hAnsi="宋体"/>
          <w:bCs/>
          <w:sz w:val="24"/>
          <w:szCs w:val="24"/>
          <w:highlight w:val="none"/>
          <w:lang w:eastAsia="zh-CN"/>
        </w:rPr>
        <w:t>红色</w:t>
      </w:r>
      <w:r>
        <w:rPr>
          <w:rFonts w:hint="eastAsia" w:ascii="宋体" w:hAnsi="宋体"/>
          <w:bCs/>
          <w:sz w:val="24"/>
          <w:szCs w:val="24"/>
          <w:highlight w:val="none"/>
        </w:rPr>
        <w:t>公章）格式见“附件二、投标函格式”。</w:t>
      </w:r>
    </w:p>
    <w:p w14:paraId="43098E8D">
      <w:pPr>
        <w:spacing w:line="500" w:lineRule="exact"/>
        <w:ind w:firstLine="480" w:firstLineChars="200"/>
        <w:rPr>
          <w:rFonts w:ascii="宋体" w:hAnsi="宋体"/>
          <w:bCs/>
          <w:sz w:val="24"/>
          <w:szCs w:val="24"/>
          <w:highlight w:val="none"/>
        </w:rPr>
      </w:pPr>
      <w:r>
        <w:rPr>
          <w:rFonts w:hint="eastAsia" w:ascii="宋体" w:hAnsi="宋体"/>
          <w:bCs/>
          <w:sz w:val="24"/>
          <w:szCs w:val="24"/>
          <w:highlight w:val="none"/>
        </w:rPr>
        <w:t>文件3   法定代表人身份证明书和企业法定代表人授权书（原件，加盖供应商</w:t>
      </w:r>
      <w:r>
        <w:rPr>
          <w:rFonts w:hint="eastAsia" w:ascii="宋体" w:hAnsi="宋体"/>
          <w:bCs/>
          <w:sz w:val="24"/>
          <w:szCs w:val="24"/>
          <w:highlight w:val="none"/>
          <w:lang w:eastAsia="zh-CN"/>
        </w:rPr>
        <w:t>红色</w:t>
      </w:r>
      <w:r>
        <w:rPr>
          <w:rFonts w:hint="eastAsia" w:ascii="宋体" w:hAnsi="宋体"/>
          <w:bCs/>
          <w:sz w:val="24"/>
          <w:szCs w:val="24"/>
          <w:highlight w:val="none"/>
        </w:rPr>
        <w:t>公章），授权书格式见“三、法定代表人身份证明书和法定代表人授权书格式”。</w:t>
      </w:r>
    </w:p>
    <w:p w14:paraId="030AF8E5">
      <w:pPr>
        <w:spacing w:line="500" w:lineRule="exact"/>
        <w:ind w:firstLine="480" w:firstLineChars="200"/>
        <w:rPr>
          <w:rFonts w:hint="eastAsia" w:ascii="宋体" w:hAnsi="宋体"/>
          <w:bCs/>
          <w:sz w:val="24"/>
          <w:szCs w:val="24"/>
          <w:highlight w:val="none"/>
        </w:rPr>
      </w:pPr>
      <w:r>
        <w:rPr>
          <w:rFonts w:hint="eastAsia" w:ascii="宋体" w:hAnsi="宋体"/>
          <w:bCs/>
          <w:sz w:val="24"/>
          <w:szCs w:val="24"/>
          <w:highlight w:val="none"/>
        </w:rPr>
        <w:t>文件4   公共资源交易投标信用承诺书（格式见附件四）。</w:t>
      </w:r>
    </w:p>
    <w:p w14:paraId="2D3D2A4E">
      <w:pPr>
        <w:pStyle w:val="49"/>
        <w:spacing w:line="500" w:lineRule="exact"/>
        <w:ind w:firstLine="480"/>
        <w:rPr>
          <w:iCs/>
          <w:sz w:val="24"/>
          <w:szCs w:val="24"/>
          <w:highlight w:val="none"/>
        </w:rPr>
      </w:pPr>
      <w:r>
        <w:rPr>
          <w:rFonts w:hint="eastAsia"/>
          <w:iCs/>
          <w:sz w:val="24"/>
          <w:szCs w:val="24"/>
          <w:highlight w:val="none"/>
        </w:rPr>
        <w:t>文件</w:t>
      </w:r>
      <w:r>
        <w:rPr>
          <w:rFonts w:hint="eastAsia"/>
          <w:iCs/>
          <w:sz w:val="24"/>
          <w:szCs w:val="24"/>
          <w:highlight w:val="none"/>
          <w:lang w:val="en-US" w:eastAsia="zh-CN"/>
        </w:rPr>
        <w:t>5</w:t>
      </w:r>
      <w:r>
        <w:rPr>
          <w:rFonts w:hint="eastAsia"/>
          <w:iCs/>
          <w:sz w:val="24"/>
          <w:szCs w:val="24"/>
          <w:highlight w:val="none"/>
        </w:rPr>
        <w:t xml:space="preserve">   采购文件中所要求的其他资质材料。</w:t>
      </w:r>
    </w:p>
    <w:p w14:paraId="0FC45983">
      <w:pPr>
        <w:widowControl/>
        <w:spacing w:line="500" w:lineRule="exact"/>
        <w:ind w:firstLine="482" w:firstLineChars="200"/>
        <w:rPr>
          <w:rFonts w:ascii="宋体" w:hAnsi="宋体"/>
          <w:b/>
          <w:sz w:val="24"/>
          <w:szCs w:val="24"/>
          <w:highlight w:val="none"/>
        </w:rPr>
      </w:pPr>
      <w:r>
        <w:rPr>
          <w:rFonts w:hint="eastAsia" w:ascii="宋体" w:hAnsi="宋体"/>
          <w:b/>
          <w:sz w:val="24"/>
          <w:szCs w:val="24"/>
          <w:highlight w:val="none"/>
        </w:rPr>
        <w:t>2.供应商及</w:t>
      </w:r>
      <w:r>
        <w:rPr>
          <w:rFonts w:hint="eastAsia" w:ascii="宋体" w:hAnsi="宋体"/>
          <w:b/>
          <w:bCs/>
          <w:sz w:val="24"/>
          <w:szCs w:val="24"/>
          <w:highlight w:val="none"/>
        </w:rPr>
        <w:t>投标产品非实质性资格证明文件目录（至少应包含以下内容）：</w:t>
      </w:r>
    </w:p>
    <w:p w14:paraId="1B90161D">
      <w:pPr>
        <w:tabs>
          <w:tab w:val="left" w:pos="5580"/>
          <w:tab w:val="left" w:pos="8400"/>
        </w:tabs>
        <w:spacing w:line="500" w:lineRule="exact"/>
        <w:ind w:firstLine="480" w:firstLineChars="200"/>
        <w:rPr>
          <w:rFonts w:ascii="宋体" w:hAnsi="宋体"/>
          <w:sz w:val="24"/>
          <w:szCs w:val="24"/>
          <w:highlight w:val="none"/>
        </w:rPr>
      </w:pPr>
      <w:r>
        <w:rPr>
          <w:rFonts w:hint="eastAsia" w:ascii="宋体" w:hAnsi="宋体"/>
          <w:sz w:val="24"/>
          <w:szCs w:val="24"/>
          <w:highlight w:val="none"/>
        </w:rPr>
        <w:t>文件1   供应商依据“评标标准”的内容，可以提供的其他响应文件。</w:t>
      </w:r>
    </w:p>
    <w:p w14:paraId="63453720">
      <w:pPr>
        <w:spacing w:line="500" w:lineRule="exact"/>
        <w:ind w:firstLine="282" w:firstLineChars="117"/>
        <w:rPr>
          <w:rFonts w:ascii="宋体" w:hAnsi="宋体"/>
          <w:b/>
          <w:sz w:val="24"/>
          <w:szCs w:val="24"/>
          <w:highlight w:val="none"/>
        </w:rPr>
      </w:pPr>
      <w:r>
        <w:rPr>
          <w:rFonts w:hint="eastAsia" w:ascii="宋体" w:hAnsi="宋体"/>
          <w:b/>
          <w:sz w:val="24"/>
          <w:szCs w:val="24"/>
          <w:highlight w:val="none"/>
          <w:lang w:val="en-US" w:eastAsia="zh-CN"/>
        </w:rPr>
        <w:t>二</w:t>
      </w:r>
      <w:r>
        <w:rPr>
          <w:rFonts w:hint="eastAsia" w:ascii="宋体" w:hAnsi="宋体"/>
          <w:b/>
          <w:sz w:val="24"/>
          <w:szCs w:val="24"/>
          <w:highlight w:val="none"/>
        </w:rPr>
        <w:t>、商务部分正负偏离表（格式见附件</w:t>
      </w:r>
      <w:r>
        <w:rPr>
          <w:rFonts w:hint="eastAsia" w:ascii="宋体" w:hAnsi="宋体"/>
          <w:b/>
          <w:sz w:val="24"/>
          <w:szCs w:val="24"/>
          <w:highlight w:val="none"/>
          <w:lang w:val="en-US" w:eastAsia="zh-CN"/>
        </w:rPr>
        <w:t>五</w:t>
      </w:r>
      <w:r>
        <w:rPr>
          <w:rFonts w:hint="eastAsia" w:ascii="宋体" w:hAnsi="宋体"/>
          <w:b/>
          <w:sz w:val="24"/>
          <w:szCs w:val="24"/>
          <w:highlight w:val="none"/>
        </w:rPr>
        <w:t>）</w:t>
      </w:r>
    </w:p>
    <w:p w14:paraId="161650FB">
      <w:pPr>
        <w:spacing w:line="500" w:lineRule="exact"/>
        <w:ind w:firstLine="282" w:firstLineChars="117"/>
        <w:rPr>
          <w:rFonts w:ascii="宋体" w:hAnsi="宋体"/>
          <w:b/>
          <w:sz w:val="24"/>
          <w:szCs w:val="24"/>
          <w:highlight w:val="none"/>
        </w:rPr>
      </w:pPr>
      <w:r>
        <w:rPr>
          <w:rFonts w:hint="eastAsia" w:ascii="宋体" w:hAnsi="宋体"/>
          <w:b/>
          <w:sz w:val="24"/>
          <w:szCs w:val="24"/>
          <w:highlight w:val="none"/>
          <w:lang w:val="en-US" w:eastAsia="zh-CN"/>
        </w:rPr>
        <w:t>三</w:t>
      </w:r>
      <w:r>
        <w:rPr>
          <w:rFonts w:hint="eastAsia" w:ascii="宋体" w:hAnsi="宋体"/>
          <w:b/>
          <w:sz w:val="24"/>
          <w:szCs w:val="24"/>
          <w:highlight w:val="none"/>
        </w:rPr>
        <w:t>、技术部分正负偏离表（格式见附件</w:t>
      </w:r>
      <w:r>
        <w:rPr>
          <w:rFonts w:hint="eastAsia" w:ascii="宋体" w:hAnsi="宋体"/>
          <w:b/>
          <w:sz w:val="24"/>
          <w:szCs w:val="24"/>
          <w:highlight w:val="none"/>
          <w:lang w:val="en-US" w:eastAsia="zh-CN"/>
        </w:rPr>
        <w:t>六</w:t>
      </w:r>
      <w:r>
        <w:rPr>
          <w:rFonts w:hint="eastAsia" w:ascii="宋体" w:hAnsi="宋体"/>
          <w:b/>
          <w:sz w:val="24"/>
          <w:szCs w:val="24"/>
          <w:highlight w:val="none"/>
        </w:rPr>
        <w:t>）</w:t>
      </w:r>
    </w:p>
    <w:p w14:paraId="301841C4">
      <w:pPr>
        <w:spacing w:line="500" w:lineRule="exact"/>
        <w:ind w:firstLine="282" w:firstLineChars="117"/>
        <w:rPr>
          <w:rFonts w:hint="eastAsia" w:ascii="宋体" w:hAnsi="宋体"/>
          <w:b/>
          <w:sz w:val="24"/>
          <w:szCs w:val="24"/>
          <w:highlight w:val="none"/>
        </w:rPr>
      </w:pPr>
      <w:r>
        <w:rPr>
          <w:rFonts w:hint="eastAsia" w:ascii="宋体" w:hAnsi="宋体"/>
          <w:b/>
          <w:sz w:val="24"/>
          <w:szCs w:val="24"/>
          <w:highlight w:val="none"/>
          <w:lang w:val="en-US" w:eastAsia="zh-CN"/>
        </w:rPr>
        <w:t>四</w:t>
      </w:r>
      <w:r>
        <w:rPr>
          <w:rFonts w:hint="eastAsia" w:ascii="宋体" w:hAnsi="宋体"/>
          <w:b/>
          <w:sz w:val="24"/>
          <w:szCs w:val="24"/>
          <w:highlight w:val="none"/>
        </w:rPr>
        <w:t>、</w:t>
      </w:r>
      <w:r>
        <w:rPr>
          <w:rFonts w:hint="eastAsia" w:ascii="宋体" w:hAnsi="宋体"/>
          <w:b/>
          <w:sz w:val="24"/>
          <w:szCs w:val="24"/>
          <w:highlight w:val="none"/>
          <w:lang w:eastAsia="zh-CN"/>
        </w:rPr>
        <w:t>（</w:t>
      </w:r>
      <w:r>
        <w:rPr>
          <w:rFonts w:hint="eastAsia" w:ascii="宋体" w:hAnsi="宋体"/>
          <w:b/>
          <w:sz w:val="24"/>
          <w:szCs w:val="24"/>
          <w:highlight w:val="none"/>
          <w:lang w:val="en-US" w:eastAsia="zh-CN"/>
        </w:rPr>
        <w:t>1</w:t>
      </w:r>
      <w:r>
        <w:rPr>
          <w:rFonts w:hint="eastAsia" w:ascii="宋体" w:hAnsi="宋体"/>
          <w:b/>
          <w:sz w:val="24"/>
          <w:szCs w:val="24"/>
          <w:highlight w:val="none"/>
          <w:lang w:eastAsia="zh-CN"/>
        </w:rPr>
        <w:t>）</w:t>
      </w:r>
      <w:r>
        <w:rPr>
          <w:rFonts w:hint="eastAsia" w:ascii="宋体" w:hAnsi="宋体"/>
          <w:b/>
          <w:sz w:val="24"/>
          <w:szCs w:val="24"/>
          <w:highlight w:val="none"/>
        </w:rPr>
        <w:t>报价一览表（格式见附件</w:t>
      </w:r>
      <w:r>
        <w:rPr>
          <w:rFonts w:hint="eastAsia" w:ascii="宋体" w:hAnsi="宋体"/>
          <w:b/>
          <w:sz w:val="24"/>
          <w:szCs w:val="24"/>
          <w:highlight w:val="none"/>
          <w:lang w:val="en-US" w:eastAsia="zh-CN"/>
        </w:rPr>
        <w:t>七</w:t>
      </w:r>
      <w:r>
        <w:rPr>
          <w:rFonts w:hint="eastAsia" w:ascii="宋体" w:hAnsi="宋体"/>
          <w:b/>
          <w:sz w:val="24"/>
          <w:szCs w:val="24"/>
          <w:highlight w:val="none"/>
        </w:rPr>
        <w:t>）</w:t>
      </w:r>
    </w:p>
    <w:p w14:paraId="70A3BD72">
      <w:pPr>
        <w:pStyle w:val="18"/>
        <w:ind w:left="0" w:leftChars="0" w:firstLine="723" w:firstLineChars="300"/>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（2）分项报价表（格式见附件八）</w:t>
      </w:r>
    </w:p>
    <w:p w14:paraId="0A95C480">
      <w:pPr>
        <w:spacing w:line="500" w:lineRule="exact"/>
        <w:rPr>
          <w:rFonts w:ascii="宋体" w:hAnsi="宋体"/>
          <w:b/>
          <w:sz w:val="24"/>
          <w:szCs w:val="24"/>
          <w:highlight w:val="none"/>
        </w:rPr>
      </w:pPr>
    </w:p>
    <w:p w14:paraId="56FFD31F">
      <w:pPr>
        <w:pStyle w:val="82"/>
        <w:spacing w:line="520" w:lineRule="exact"/>
        <w:ind w:left="0" w:leftChars="0" w:firstLine="422" w:firstLineChars="175"/>
        <w:rPr>
          <w:rFonts w:ascii="宋体" w:hAnsi="宋体" w:eastAsia="宋体"/>
          <w:b/>
          <w:color w:val="auto"/>
          <w:highlight w:val="none"/>
        </w:rPr>
      </w:pPr>
      <w:r>
        <w:rPr>
          <w:rFonts w:hint="eastAsia" w:ascii="宋体" w:hAnsi="宋体"/>
          <w:b/>
          <w:sz w:val="24"/>
          <w:szCs w:val="24"/>
          <w:highlight w:val="none"/>
        </w:rPr>
        <w:t>注：投标文件顺序内容参照投标文件格式中投标主要文件目录的顺序制作，并请编制目录。由于不按要求编排，编排混乱等导致投标文件被误读或查找不到，责任由供应商承担</w:t>
      </w:r>
      <w:r>
        <w:rPr>
          <w:rFonts w:hint="eastAsia" w:ascii="宋体" w:hAnsi="宋体" w:eastAsia="宋体"/>
          <w:b/>
          <w:color w:val="auto"/>
          <w:highlight w:val="none"/>
        </w:rPr>
        <w:t>。</w:t>
      </w:r>
    </w:p>
    <w:p w14:paraId="622C7D59">
      <w:pPr>
        <w:spacing w:line="360" w:lineRule="auto"/>
        <w:jc w:val="left"/>
        <w:rPr>
          <w:rFonts w:ascii="宋体" w:hAnsi="宋体"/>
          <w:color w:val="auto"/>
          <w:sz w:val="24"/>
          <w:szCs w:val="24"/>
          <w:highlight w:val="none"/>
        </w:rPr>
        <w:sectPr>
          <w:pgSz w:w="11906" w:h="16838"/>
          <w:pgMar w:top="1134" w:right="991" w:bottom="993" w:left="993" w:header="851" w:footer="992" w:gutter="0"/>
          <w:pgNumType w:fmt="numberInDash" w:start="1"/>
          <w:cols w:space="720" w:num="1"/>
          <w:titlePg/>
          <w:docGrid w:type="lines" w:linePitch="312" w:charSpace="0"/>
        </w:sectPr>
      </w:pPr>
    </w:p>
    <w:p w14:paraId="67559D8E">
      <w:pPr>
        <w:ind w:left="0" w:leftChars="0" w:firstLine="0" w:firstLineChars="0"/>
        <w:jc w:val="left"/>
        <w:rPr>
          <w:b/>
          <w:bCs/>
          <w:sz w:val="24"/>
          <w:szCs w:val="24"/>
          <w:highlight w:val="none"/>
        </w:rPr>
      </w:pPr>
      <w:r>
        <w:rPr>
          <w:rFonts w:hint="eastAsia"/>
          <w:b/>
          <w:bCs/>
          <w:sz w:val="28"/>
          <w:szCs w:val="28"/>
          <w:highlight w:val="none"/>
        </w:rPr>
        <w:t>附件一：</w:t>
      </w:r>
    </w:p>
    <w:p w14:paraId="7CCED7DF">
      <w:pPr>
        <w:jc w:val="center"/>
        <w:rPr>
          <w:rFonts w:ascii="宋体" w:hAnsi="宋体"/>
          <w:b/>
          <w:sz w:val="30"/>
          <w:szCs w:val="30"/>
          <w:highlight w:val="none"/>
        </w:rPr>
      </w:pPr>
    </w:p>
    <w:p w14:paraId="5E4A4BC0">
      <w:pPr>
        <w:jc w:val="center"/>
        <w:rPr>
          <w:rFonts w:ascii="宋体" w:hAnsi="宋体"/>
          <w:b/>
          <w:sz w:val="30"/>
          <w:szCs w:val="30"/>
          <w:highlight w:val="none"/>
        </w:rPr>
      </w:pPr>
      <w:r>
        <w:rPr>
          <w:rFonts w:hint="eastAsia" w:ascii="宋体" w:hAnsi="宋体"/>
          <w:b/>
          <w:sz w:val="30"/>
          <w:szCs w:val="30"/>
          <w:highlight w:val="none"/>
        </w:rPr>
        <w:t>供应商符合《政府采购法》第二十二条规定条件的声明函</w:t>
      </w:r>
    </w:p>
    <w:p w14:paraId="2C0D7174">
      <w:pPr>
        <w:spacing w:line="460" w:lineRule="exact"/>
        <w:rPr>
          <w:rFonts w:ascii="宋体" w:hAnsi="宋体"/>
          <w:b/>
          <w:bCs/>
          <w:sz w:val="24"/>
          <w:highlight w:val="none"/>
        </w:rPr>
      </w:pPr>
      <w:r>
        <w:rPr>
          <w:rFonts w:hint="eastAsia" w:ascii="宋体" w:hAnsi="宋体"/>
          <w:b/>
          <w:bCs/>
          <w:sz w:val="24"/>
          <w:highlight w:val="none"/>
        </w:rPr>
        <w:t xml:space="preserve">                       </w:t>
      </w:r>
      <w:r>
        <w:rPr>
          <w:rFonts w:hint="eastAsia" w:ascii="宋体" w:hAnsi="宋体"/>
          <w:b/>
          <w:bCs/>
          <w:sz w:val="44"/>
          <w:szCs w:val="44"/>
          <w:highlight w:val="none"/>
        </w:rPr>
        <w:t xml:space="preserve">   </w:t>
      </w:r>
    </w:p>
    <w:p w14:paraId="2C348B64">
      <w:pPr>
        <w:spacing w:line="520" w:lineRule="exact"/>
        <w:ind w:firstLine="480" w:firstLineChars="200"/>
        <w:rPr>
          <w:rFonts w:ascii="宋体" w:hAnsi="宋体"/>
          <w:bCs/>
          <w:sz w:val="24"/>
          <w:highlight w:val="none"/>
        </w:rPr>
      </w:pPr>
      <w:r>
        <w:rPr>
          <w:rFonts w:hint="eastAsia" w:ascii="宋体" w:hAnsi="宋体"/>
          <w:bCs/>
          <w:sz w:val="24"/>
          <w:highlight w:val="none"/>
        </w:rPr>
        <w:t>我单位参加</w:t>
      </w:r>
      <w:r>
        <w:rPr>
          <w:rFonts w:hint="eastAsia" w:ascii="宋体" w:hAnsi="宋体"/>
          <w:bCs/>
          <w:sz w:val="24"/>
          <w:highlight w:val="none"/>
          <w:u w:val="single"/>
        </w:rPr>
        <w:t xml:space="preserve">                 </w:t>
      </w:r>
      <w:r>
        <w:rPr>
          <w:rFonts w:hint="eastAsia" w:ascii="宋体" w:hAnsi="宋体"/>
          <w:bCs/>
          <w:sz w:val="24"/>
          <w:highlight w:val="none"/>
        </w:rPr>
        <w:t>（项目名称）投标活动。针对《中华人民共和国政府采购法》第二十二条规定做出如下声明：</w:t>
      </w:r>
    </w:p>
    <w:p w14:paraId="188FB806">
      <w:pPr>
        <w:spacing w:line="520" w:lineRule="exact"/>
        <w:ind w:firstLine="482"/>
        <w:rPr>
          <w:rFonts w:ascii="宋体" w:hAnsi="宋体"/>
          <w:bCs/>
          <w:sz w:val="24"/>
          <w:highlight w:val="none"/>
        </w:rPr>
      </w:pPr>
      <w:r>
        <w:rPr>
          <w:rFonts w:hint="eastAsia" w:ascii="宋体" w:hAnsi="宋体"/>
          <w:bCs/>
          <w:sz w:val="24"/>
          <w:highlight w:val="none"/>
        </w:rPr>
        <w:t>1.我单位具有独立承担民事责任的能力；</w:t>
      </w:r>
    </w:p>
    <w:p w14:paraId="1497B111">
      <w:pPr>
        <w:spacing w:line="520" w:lineRule="exact"/>
        <w:ind w:firstLine="482"/>
        <w:rPr>
          <w:rFonts w:ascii="宋体" w:hAnsi="宋体"/>
          <w:sz w:val="24"/>
          <w:highlight w:val="none"/>
        </w:rPr>
      </w:pPr>
      <w:r>
        <w:rPr>
          <w:rFonts w:hint="eastAsia" w:ascii="宋体" w:hAnsi="宋体"/>
          <w:sz w:val="24"/>
          <w:highlight w:val="none"/>
        </w:rPr>
        <w:t>2.我单位具有良好的商业信誉和健全的财务会计制度；</w:t>
      </w:r>
    </w:p>
    <w:p w14:paraId="36FDBC01">
      <w:pPr>
        <w:spacing w:line="520" w:lineRule="exact"/>
        <w:ind w:firstLine="482"/>
        <w:rPr>
          <w:rFonts w:ascii="宋体" w:hAnsi="宋体"/>
          <w:sz w:val="24"/>
          <w:highlight w:val="none"/>
        </w:rPr>
      </w:pPr>
      <w:r>
        <w:rPr>
          <w:rFonts w:hint="eastAsia" w:ascii="宋体" w:hAnsi="宋体"/>
          <w:sz w:val="24"/>
          <w:highlight w:val="none"/>
        </w:rPr>
        <w:t>3.我单位具有履行合同所必需的设备和专业技术能力；</w:t>
      </w:r>
    </w:p>
    <w:p w14:paraId="549B3C86">
      <w:pPr>
        <w:spacing w:line="520" w:lineRule="exact"/>
        <w:ind w:firstLine="482"/>
        <w:rPr>
          <w:rFonts w:ascii="宋体" w:hAnsi="宋体"/>
          <w:sz w:val="24"/>
          <w:highlight w:val="none"/>
        </w:rPr>
      </w:pPr>
      <w:r>
        <w:rPr>
          <w:rFonts w:hint="eastAsia" w:ascii="宋体" w:hAnsi="宋体"/>
          <w:sz w:val="24"/>
          <w:highlight w:val="none"/>
        </w:rPr>
        <w:t>4.我单位有依法缴纳税收和社会保障资金的良好记录；</w:t>
      </w:r>
    </w:p>
    <w:p w14:paraId="76ECF4DF">
      <w:pPr>
        <w:spacing w:line="520" w:lineRule="exact"/>
        <w:ind w:firstLine="482"/>
        <w:rPr>
          <w:rFonts w:ascii="宋体" w:hAnsi="宋体"/>
          <w:sz w:val="24"/>
          <w:highlight w:val="none"/>
        </w:rPr>
      </w:pPr>
      <w:r>
        <w:rPr>
          <w:rFonts w:hint="eastAsia" w:ascii="宋体" w:hAnsi="宋体"/>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8CC6B6B">
      <w:pPr>
        <w:spacing w:line="520" w:lineRule="exact"/>
        <w:ind w:firstLine="482"/>
        <w:rPr>
          <w:rFonts w:ascii="宋体" w:hAnsi="宋体"/>
          <w:sz w:val="24"/>
          <w:highlight w:val="none"/>
        </w:rPr>
      </w:pPr>
      <w:r>
        <w:rPr>
          <w:rFonts w:hint="eastAsia" w:ascii="宋体" w:hAnsi="宋体"/>
          <w:sz w:val="24"/>
          <w:highlight w:val="none"/>
        </w:rPr>
        <w:t>6.我单位满足法律、行政法规规定的其他条件。</w:t>
      </w:r>
    </w:p>
    <w:p w14:paraId="62E54521">
      <w:pPr>
        <w:spacing w:line="500" w:lineRule="exact"/>
        <w:ind w:firstLine="482"/>
        <w:rPr>
          <w:rFonts w:ascii="宋体" w:hAnsi="宋体"/>
          <w:sz w:val="24"/>
          <w:highlight w:val="none"/>
        </w:rPr>
      </w:pPr>
    </w:p>
    <w:p w14:paraId="73D9F4BC">
      <w:pPr>
        <w:spacing w:line="500" w:lineRule="exact"/>
        <w:rPr>
          <w:rFonts w:ascii="宋体" w:hAnsi="宋体"/>
          <w:sz w:val="24"/>
          <w:highlight w:val="none"/>
        </w:rPr>
      </w:pPr>
    </w:p>
    <w:p w14:paraId="4C68115F">
      <w:pPr>
        <w:spacing w:line="500" w:lineRule="exact"/>
        <w:rPr>
          <w:rFonts w:ascii="宋体" w:hAnsi="宋体"/>
          <w:bCs/>
          <w:sz w:val="24"/>
          <w:highlight w:val="none"/>
        </w:rPr>
      </w:pPr>
    </w:p>
    <w:p w14:paraId="4FC61E31">
      <w:pPr>
        <w:spacing w:line="500" w:lineRule="exact"/>
        <w:rPr>
          <w:rFonts w:ascii="宋体" w:hAnsi="宋体"/>
          <w:bCs/>
          <w:sz w:val="24"/>
          <w:highlight w:val="none"/>
        </w:rPr>
      </w:pPr>
    </w:p>
    <w:p w14:paraId="7AB42B4D">
      <w:pPr>
        <w:spacing w:line="500" w:lineRule="exact"/>
        <w:rPr>
          <w:rFonts w:ascii="宋体" w:hAnsi="宋体"/>
          <w:bCs/>
          <w:sz w:val="24"/>
          <w:highlight w:val="none"/>
        </w:rPr>
      </w:pPr>
    </w:p>
    <w:p w14:paraId="3A14CA2C">
      <w:pPr>
        <w:spacing w:line="460" w:lineRule="exact"/>
        <w:jc w:val="center"/>
        <w:rPr>
          <w:rFonts w:ascii="宋体" w:hAnsi="宋体"/>
          <w:bCs/>
          <w:sz w:val="24"/>
          <w:highlight w:val="none"/>
        </w:rPr>
      </w:pPr>
      <w:r>
        <w:rPr>
          <w:rFonts w:hint="eastAsia" w:ascii="宋体" w:hAnsi="宋体"/>
          <w:bCs/>
          <w:sz w:val="24"/>
          <w:highlight w:val="none"/>
        </w:rPr>
        <w:t xml:space="preserve">                                             承诺人名称（公章）：</w:t>
      </w:r>
    </w:p>
    <w:p w14:paraId="4167D1B9">
      <w:pPr>
        <w:spacing w:line="460" w:lineRule="exact"/>
        <w:jc w:val="right"/>
        <w:rPr>
          <w:rFonts w:ascii="宋体" w:hAnsi="宋体"/>
          <w:bCs/>
          <w:sz w:val="24"/>
          <w:highlight w:val="none"/>
        </w:rPr>
      </w:pPr>
      <w:r>
        <w:rPr>
          <w:rFonts w:hint="eastAsia" w:ascii="宋体" w:hAnsi="宋体"/>
          <w:bCs/>
          <w:sz w:val="24"/>
          <w:highlight w:val="none"/>
        </w:rPr>
        <w:t xml:space="preserve">    </w:t>
      </w:r>
    </w:p>
    <w:p w14:paraId="1C15843F">
      <w:pPr>
        <w:spacing w:line="400" w:lineRule="exact"/>
        <w:ind w:firstLine="482"/>
        <w:jc w:val="right"/>
        <w:rPr>
          <w:rFonts w:ascii="宋体" w:hAnsi="宋体" w:cs="宋体"/>
          <w:b/>
          <w:bCs/>
          <w:color w:val="auto"/>
          <w:highlight w:val="none"/>
        </w:rPr>
      </w:pPr>
      <w:r>
        <w:rPr>
          <w:rFonts w:hint="eastAsia" w:ascii="宋体" w:hAnsi="宋体"/>
          <w:bCs/>
          <w:sz w:val="24"/>
          <w:highlight w:val="none"/>
        </w:rPr>
        <w:t xml:space="preserve">                              日期：</w:t>
      </w:r>
      <w:r>
        <w:rPr>
          <w:rFonts w:hint="eastAsia" w:ascii="宋体" w:hAnsi="宋体"/>
          <w:bCs/>
          <w:sz w:val="24"/>
          <w:highlight w:val="none"/>
          <w:u w:val="single"/>
        </w:rPr>
        <w:t xml:space="preserve">      </w:t>
      </w:r>
      <w:r>
        <w:rPr>
          <w:rFonts w:hint="eastAsia" w:ascii="宋体" w:hAnsi="宋体"/>
          <w:bCs/>
          <w:sz w:val="24"/>
          <w:highlight w:val="none"/>
        </w:rPr>
        <w:t>年</w:t>
      </w:r>
      <w:r>
        <w:rPr>
          <w:rFonts w:hint="eastAsia" w:ascii="宋体" w:hAnsi="宋体"/>
          <w:bCs/>
          <w:sz w:val="24"/>
          <w:highlight w:val="none"/>
          <w:u w:val="single"/>
        </w:rPr>
        <w:t xml:space="preserve">    </w:t>
      </w:r>
      <w:r>
        <w:rPr>
          <w:rFonts w:hint="eastAsia" w:ascii="宋体" w:hAnsi="宋体"/>
          <w:bCs/>
          <w:sz w:val="24"/>
          <w:highlight w:val="none"/>
        </w:rPr>
        <w:t>月</w:t>
      </w:r>
      <w:r>
        <w:rPr>
          <w:rFonts w:hint="eastAsia" w:ascii="宋体" w:hAnsi="宋体"/>
          <w:bCs/>
          <w:sz w:val="24"/>
          <w:highlight w:val="none"/>
          <w:u w:val="single"/>
        </w:rPr>
        <w:t xml:space="preserve">    </w:t>
      </w:r>
      <w:r>
        <w:rPr>
          <w:rFonts w:hint="eastAsia" w:ascii="宋体" w:hAnsi="宋体"/>
          <w:bCs/>
          <w:sz w:val="24"/>
          <w:highlight w:val="none"/>
        </w:rPr>
        <w:t>日</w:t>
      </w:r>
    </w:p>
    <w:p w14:paraId="311CE5E4">
      <w:pPr>
        <w:ind w:firstLine="0" w:firstLineChars="0"/>
        <w:rPr>
          <w:rFonts w:ascii="宋体" w:hAnsi="宋体" w:cs="宋体"/>
          <w:b/>
          <w:bCs/>
          <w:color w:val="auto"/>
          <w:sz w:val="28"/>
          <w:szCs w:val="28"/>
          <w:highlight w:val="none"/>
        </w:rPr>
      </w:pPr>
    </w:p>
    <w:p w14:paraId="3CAC3525">
      <w:pPr>
        <w:ind w:firstLine="0" w:firstLineChars="0"/>
        <w:rPr>
          <w:rFonts w:ascii="宋体" w:hAnsi="宋体" w:cs="宋体"/>
          <w:b/>
          <w:bCs/>
          <w:color w:val="auto"/>
          <w:sz w:val="28"/>
          <w:szCs w:val="28"/>
          <w:highlight w:val="none"/>
        </w:rPr>
      </w:pPr>
    </w:p>
    <w:p w14:paraId="357F93B3">
      <w:pPr>
        <w:pStyle w:val="32"/>
        <w:ind w:firstLine="560"/>
        <w:rPr>
          <w:rFonts w:ascii="宋体" w:hAnsi="宋体" w:eastAsia="宋体" w:cs="宋体"/>
          <w:b w:val="0"/>
          <w:bCs w:val="0"/>
          <w:color w:val="auto"/>
          <w:sz w:val="28"/>
          <w:szCs w:val="28"/>
          <w:highlight w:val="none"/>
        </w:rPr>
      </w:pPr>
    </w:p>
    <w:p w14:paraId="1A0F4D56">
      <w:pPr>
        <w:ind w:firstLine="0" w:firstLineChars="0"/>
        <w:rPr>
          <w:rFonts w:ascii="宋体" w:hAnsi="宋体" w:cs="宋体"/>
          <w:b/>
          <w:bCs/>
          <w:color w:val="auto"/>
          <w:sz w:val="32"/>
          <w:highlight w:val="none"/>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二</w:t>
      </w:r>
      <w:r>
        <w:rPr>
          <w:rFonts w:hint="eastAsia" w:ascii="宋体" w:hAnsi="宋体" w:cs="宋体"/>
          <w:b/>
          <w:bCs/>
          <w:color w:val="auto"/>
          <w:sz w:val="32"/>
          <w:highlight w:val="none"/>
        </w:rPr>
        <w:t xml:space="preserve"> </w:t>
      </w:r>
    </w:p>
    <w:p w14:paraId="5816A692">
      <w:pPr>
        <w:ind w:firstLine="643"/>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投 标 函 </w:t>
      </w:r>
    </w:p>
    <w:p w14:paraId="78011011">
      <w:pPr>
        <w:pStyle w:val="73"/>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b/>
          <w:bCs/>
          <w:color w:val="auto"/>
          <w:highlight w:val="none"/>
          <w:u w:val="single"/>
        </w:rPr>
        <w:t xml:space="preserve">             </w:t>
      </w:r>
      <w:r>
        <w:rPr>
          <w:rFonts w:hint="eastAsia" w:ascii="宋体" w:hAnsi="宋体" w:cs="宋体"/>
          <w:b/>
          <w:bCs/>
          <w:color w:val="auto"/>
          <w:highlight w:val="none"/>
        </w:rPr>
        <w:t xml:space="preserve"> ：</w:t>
      </w:r>
    </w:p>
    <w:p w14:paraId="5BD264FE">
      <w:pPr>
        <w:rPr>
          <w:rFonts w:ascii="宋体" w:hAnsi="宋体" w:cs="宋体"/>
          <w:color w:val="auto"/>
          <w:highlight w:val="none"/>
        </w:rPr>
      </w:pPr>
      <w:r>
        <w:rPr>
          <w:rFonts w:hint="eastAsia" w:ascii="宋体" w:hAnsi="宋体" w:cs="宋体"/>
          <w:color w:val="auto"/>
          <w:highlight w:val="none"/>
        </w:rPr>
        <w:t>根据贵方的项目采购文件，正式授权下述</w:t>
      </w:r>
      <w:r>
        <w:rPr>
          <w:rFonts w:hint="eastAsia" w:ascii="宋体" w:hAnsi="宋体" w:cs="宋体"/>
          <w:color w:val="auto"/>
          <w:highlight w:val="none"/>
          <w:u w:val="single"/>
        </w:rPr>
        <w:t xml:space="preserve">(姓名和职务)      </w:t>
      </w:r>
      <w:r>
        <w:rPr>
          <w:rFonts w:hint="eastAsia" w:ascii="宋体" w:hAnsi="宋体" w:cs="宋体"/>
          <w:color w:val="auto"/>
          <w:highlight w:val="none"/>
        </w:rPr>
        <w:t>代表我方</w:t>
      </w:r>
      <w:r>
        <w:rPr>
          <w:rFonts w:hint="eastAsia" w:ascii="宋体" w:hAnsi="宋体" w:cs="宋体"/>
          <w:color w:val="auto"/>
          <w:highlight w:val="none"/>
          <w:u w:val="single"/>
        </w:rPr>
        <w:t xml:space="preserve">（投标人的名称）         </w:t>
      </w:r>
      <w:r>
        <w:rPr>
          <w:rFonts w:hint="eastAsia" w:ascii="宋体" w:hAnsi="宋体" w:cs="宋体"/>
          <w:color w:val="auto"/>
          <w:highlight w:val="none"/>
        </w:rPr>
        <w:t>，全权处理本次</w:t>
      </w:r>
      <w:r>
        <w:rPr>
          <w:rFonts w:hint="eastAsia" w:ascii="宋体" w:hAnsi="宋体" w:cs="宋体"/>
          <w:color w:val="auto"/>
          <w:highlight w:val="none"/>
          <w:u w:val="single"/>
        </w:rPr>
        <w:t xml:space="preserve">                       </w:t>
      </w:r>
      <w:r>
        <w:rPr>
          <w:rFonts w:hint="eastAsia" w:ascii="宋体" w:hAnsi="宋体" w:cs="宋体"/>
          <w:color w:val="auto"/>
          <w:highlight w:val="none"/>
        </w:rPr>
        <w:t>（项目名称）投标的有关事宜。我方现就有关事项郑重承诺如下：</w:t>
      </w:r>
    </w:p>
    <w:p w14:paraId="31795830">
      <w:pPr>
        <w:spacing w:line="400" w:lineRule="exact"/>
        <w:rPr>
          <w:rFonts w:ascii="宋体" w:hAnsi="宋体" w:cs="宋体"/>
          <w:color w:val="auto"/>
          <w:highlight w:val="none"/>
        </w:rPr>
      </w:pPr>
      <w:r>
        <w:rPr>
          <w:rFonts w:hint="eastAsia" w:ascii="宋体" w:hAnsi="宋体" w:cs="宋体"/>
          <w:color w:val="auto"/>
          <w:highlight w:val="none"/>
        </w:rPr>
        <w:t>1.按采购文件规定的各项要求，向采购人提供所需</w:t>
      </w:r>
      <w:r>
        <w:rPr>
          <w:rFonts w:hint="eastAsia" w:ascii="宋体" w:hAnsi="宋体" w:cs="宋体"/>
          <w:color w:val="auto"/>
          <w:highlight w:val="none"/>
          <w:lang w:val="en-US" w:eastAsia="zh-CN"/>
        </w:rPr>
        <w:t>货物或</w:t>
      </w:r>
      <w:r>
        <w:rPr>
          <w:rFonts w:hint="eastAsia" w:ascii="宋体" w:hAnsi="宋体" w:cs="宋体"/>
          <w:color w:val="auto"/>
          <w:highlight w:val="none"/>
        </w:rPr>
        <w:t>服务。</w:t>
      </w:r>
    </w:p>
    <w:p w14:paraId="17390334">
      <w:pPr>
        <w:spacing w:line="400" w:lineRule="exact"/>
        <w:rPr>
          <w:rFonts w:ascii="宋体" w:hAnsi="宋体" w:cs="宋体"/>
          <w:color w:val="auto"/>
          <w:highlight w:val="none"/>
        </w:rPr>
      </w:pPr>
      <w:r>
        <w:rPr>
          <w:rFonts w:hint="eastAsia" w:ascii="宋体" w:hAnsi="宋体" w:cs="宋体"/>
          <w:color w:val="auto"/>
          <w:highlight w:val="none"/>
        </w:rPr>
        <w:t>2.我方完全理解报价最低并非意味着必定获得中标的资格。</w:t>
      </w:r>
    </w:p>
    <w:p w14:paraId="013CAC99">
      <w:pPr>
        <w:spacing w:line="400" w:lineRule="exact"/>
        <w:rPr>
          <w:rFonts w:ascii="宋体" w:hAnsi="宋体" w:cs="宋体"/>
          <w:color w:val="auto"/>
          <w:highlight w:val="none"/>
        </w:rPr>
      </w:pPr>
      <w:r>
        <w:rPr>
          <w:rFonts w:hint="eastAsia" w:ascii="宋体" w:hAnsi="宋体" w:cs="宋体"/>
          <w:color w:val="auto"/>
          <w:highlight w:val="none"/>
        </w:rPr>
        <w:t>3.我方已详细审核全部采购文件及其有效补充文件（若有），包括投标文件修改书（如有的话）、参考资料及有关附件，确认无误。</w:t>
      </w:r>
    </w:p>
    <w:p w14:paraId="0FB620BC">
      <w:pPr>
        <w:spacing w:line="400" w:lineRule="exact"/>
        <w:rPr>
          <w:rFonts w:ascii="宋体" w:hAnsi="宋体" w:cs="宋体"/>
          <w:color w:val="auto"/>
          <w:highlight w:val="none"/>
        </w:rPr>
      </w:pPr>
      <w:r>
        <w:rPr>
          <w:rFonts w:hint="eastAsia" w:ascii="宋体" w:hAnsi="宋体" w:cs="宋体"/>
          <w:color w:val="auto"/>
          <w:highlight w:val="none"/>
        </w:rPr>
        <w:t>4.我方完全理解全部采购文件内容及相关的补充文件（若有），不存在任何误解之处，同意放弃提出异议和质疑的权利。</w:t>
      </w:r>
    </w:p>
    <w:p w14:paraId="591273C9">
      <w:pPr>
        <w:spacing w:line="400" w:lineRule="exact"/>
        <w:rPr>
          <w:rFonts w:ascii="宋体" w:hAnsi="宋体" w:cs="宋体"/>
          <w:color w:val="auto"/>
          <w:highlight w:val="none"/>
        </w:rPr>
      </w:pPr>
      <w:r>
        <w:rPr>
          <w:rFonts w:hint="eastAsia" w:ascii="宋体" w:hAnsi="宋体" w:cs="宋体"/>
          <w:color w:val="auto"/>
          <w:highlight w:val="none"/>
        </w:rPr>
        <w:t>5.我方同意从规定的开标日期起遵循本投标文件，并在规定的投标有效期期满之前均具有约束力。</w:t>
      </w:r>
    </w:p>
    <w:p w14:paraId="33F0C0CC">
      <w:pPr>
        <w:spacing w:line="400" w:lineRule="exact"/>
        <w:rPr>
          <w:rFonts w:ascii="宋体" w:hAnsi="宋体" w:cs="宋体"/>
          <w:color w:val="auto"/>
          <w:highlight w:val="none"/>
        </w:rPr>
      </w:pPr>
      <w:r>
        <w:rPr>
          <w:rFonts w:hint="eastAsia" w:ascii="宋体" w:hAnsi="宋体" w:cs="宋体"/>
          <w:color w:val="auto"/>
          <w:highlight w:val="none"/>
        </w:rPr>
        <w:t>6.我方承诺：采购人若需追加采购本项目采购文件所列相关服务的，在不改变合同其他实质性条款的前提下，按相同或更优惠的折扣率保证</w:t>
      </w:r>
      <w:r>
        <w:rPr>
          <w:rFonts w:hint="eastAsia" w:ascii="宋体" w:hAnsi="宋体" w:cs="宋体"/>
          <w:color w:val="auto"/>
          <w:highlight w:val="none"/>
          <w:lang w:val="en-US" w:eastAsia="zh-CN"/>
        </w:rPr>
        <w:t>提供服务</w:t>
      </w:r>
      <w:r>
        <w:rPr>
          <w:rFonts w:hint="eastAsia" w:ascii="宋体" w:hAnsi="宋体" w:cs="宋体"/>
          <w:color w:val="auto"/>
          <w:highlight w:val="none"/>
        </w:rPr>
        <w:t>。</w:t>
      </w:r>
    </w:p>
    <w:p w14:paraId="36211AF1">
      <w:pPr>
        <w:spacing w:line="400" w:lineRule="exact"/>
        <w:rPr>
          <w:rFonts w:ascii="宋体" w:hAnsi="宋体" w:cs="宋体"/>
          <w:color w:val="auto"/>
          <w:highlight w:val="none"/>
        </w:rPr>
      </w:pPr>
      <w:r>
        <w:rPr>
          <w:rFonts w:hint="eastAsia" w:ascii="宋体" w:hAnsi="宋体" w:cs="宋体"/>
          <w:color w:val="auto"/>
          <w:highlight w:val="none"/>
        </w:rPr>
        <w:t>7.同意向贵方提供贵方可能另外要求的与投标有关的任何证据或资料，并保证我方已提供和将要提供的文件是真实的、准确的，绝无任何遗漏、虚假、伪造和夸大的成份，若出现违背诚实信用和无如实告知之处，同意被废除投标资格和相关的处罚。</w:t>
      </w:r>
    </w:p>
    <w:p w14:paraId="2F13584F">
      <w:pPr>
        <w:spacing w:line="400" w:lineRule="exact"/>
        <w:rPr>
          <w:rFonts w:ascii="宋体" w:hAnsi="宋体" w:cs="宋体"/>
          <w:color w:val="auto"/>
          <w:highlight w:val="none"/>
        </w:rPr>
      </w:pPr>
      <w:r>
        <w:rPr>
          <w:rFonts w:hint="eastAsia" w:ascii="宋体" w:hAnsi="宋体" w:cs="宋体"/>
          <w:color w:val="auto"/>
          <w:highlight w:val="none"/>
        </w:rPr>
        <w:t>8.一旦我方中标,我方将根据采购文件的规定，严格履行合同的责任和义务,并保证在采购文件规定的时间完成项目，交付采购人验收、使用。我方愿意在签订合同并遵守采购文件中要求的收费项目和标准且无任何异议。</w:t>
      </w:r>
    </w:p>
    <w:p w14:paraId="142F907D">
      <w:pPr>
        <w:spacing w:line="400" w:lineRule="exact"/>
        <w:rPr>
          <w:rFonts w:ascii="宋体" w:hAnsi="宋体" w:cs="宋体"/>
          <w:color w:val="auto"/>
          <w:highlight w:val="none"/>
        </w:rPr>
      </w:pPr>
      <w:r>
        <w:rPr>
          <w:rFonts w:hint="eastAsia" w:ascii="宋体" w:hAnsi="宋体" w:cs="宋体"/>
          <w:color w:val="auto"/>
          <w:highlight w:val="none"/>
        </w:rPr>
        <w:t>如果我方违反上述承诺，或承诺内容不属实，我方愿意承担一切不利的法律后果。</w:t>
      </w:r>
    </w:p>
    <w:p w14:paraId="7FC6D151">
      <w:pPr>
        <w:spacing w:line="400" w:lineRule="exact"/>
        <w:rPr>
          <w:rFonts w:ascii="宋体" w:hAnsi="宋体" w:cs="宋体"/>
          <w:color w:val="auto"/>
          <w:highlight w:val="none"/>
        </w:rPr>
      </w:pPr>
      <w:r>
        <w:rPr>
          <w:rFonts w:hint="eastAsia" w:ascii="宋体" w:hAnsi="宋体" w:cs="宋体"/>
          <w:color w:val="auto"/>
          <w:highlight w:val="none"/>
        </w:rPr>
        <w:t>与本投标有关的正式通讯地址为：</w:t>
      </w:r>
    </w:p>
    <w:p w14:paraId="0958FC54">
      <w:pPr>
        <w:pStyle w:val="73"/>
        <w:spacing w:line="400" w:lineRule="exact"/>
        <w:rPr>
          <w:rFonts w:ascii="宋体" w:hAnsi="宋体" w:cs="宋体"/>
          <w:color w:val="auto"/>
          <w:highlight w:val="none"/>
        </w:rPr>
      </w:pPr>
      <w:r>
        <w:rPr>
          <w:rFonts w:hint="eastAsia" w:ascii="宋体" w:hAnsi="宋体" w:cs="宋体"/>
          <w:color w:val="auto"/>
          <w:highlight w:val="none"/>
        </w:rPr>
        <w:t>地址：                           邮编：</w:t>
      </w:r>
    </w:p>
    <w:p w14:paraId="35D4C535">
      <w:pPr>
        <w:pStyle w:val="73"/>
        <w:spacing w:line="400" w:lineRule="exact"/>
        <w:rPr>
          <w:rFonts w:ascii="宋体" w:hAnsi="宋体" w:cs="宋体"/>
          <w:color w:val="auto"/>
          <w:highlight w:val="none"/>
        </w:rPr>
      </w:pPr>
      <w:r>
        <w:rPr>
          <w:rFonts w:hint="eastAsia" w:ascii="宋体" w:hAnsi="宋体" w:cs="宋体"/>
          <w:color w:val="auto"/>
          <w:highlight w:val="none"/>
        </w:rPr>
        <w:t>电话：　　　　　　　　　　　　   传真：</w:t>
      </w:r>
    </w:p>
    <w:p w14:paraId="3E9E5FEA">
      <w:pPr>
        <w:pStyle w:val="73"/>
        <w:spacing w:line="400" w:lineRule="exact"/>
        <w:rPr>
          <w:rFonts w:ascii="宋体" w:hAnsi="宋体" w:cs="宋体"/>
          <w:color w:val="auto"/>
          <w:highlight w:val="none"/>
        </w:rPr>
      </w:pPr>
      <w:r>
        <w:rPr>
          <w:rFonts w:hint="eastAsia" w:ascii="宋体" w:hAnsi="宋体" w:cs="宋体"/>
          <w:color w:val="auto"/>
          <w:highlight w:val="none"/>
        </w:rPr>
        <w:t>投标人开户行：                   账户：</w:t>
      </w:r>
    </w:p>
    <w:p w14:paraId="5CD26FCB">
      <w:pPr>
        <w:pStyle w:val="73"/>
        <w:spacing w:line="40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bCs/>
          <w:color w:val="auto"/>
          <w:highlight w:val="none"/>
        </w:rPr>
        <w:t>授权委托人</w:t>
      </w:r>
      <w:r>
        <w:rPr>
          <w:rFonts w:hint="eastAsia" w:ascii="宋体" w:hAnsi="宋体" w:cs="宋体"/>
          <w:color w:val="auto"/>
          <w:highlight w:val="none"/>
        </w:rPr>
        <w:t xml:space="preserve">姓名（签字）： </w:t>
      </w:r>
    </w:p>
    <w:p w14:paraId="1017AC25">
      <w:pPr>
        <w:pStyle w:val="73"/>
        <w:spacing w:line="400" w:lineRule="exact"/>
        <w:rPr>
          <w:rFonts w:ascii="宋体" w:hAnsi="宋体" w:cs="宋体"/>
          <w:color w:val="auto"/>
          <w:highlight w:val="none"/>
        </w:rPr>
      </w:pPr>
      <w:r>
        <w:rPr>
          <w:rFonts w:hint="eastAsia" w:ascii="宋体" w:hAnsi="宋体" w:cs="宋体"/>
          <w:color w:val="auto"/>
          <w:highlight w:val="none"/>
        </w:rPr>
        <w:t>投标人全称（加盖公章）：</w:t>
      </w:r>
    </w:p>
    <w:p w14:paraId="7733C268">
      <w:pPr>
        <w:pStyle w:val="73"/>
        <w:spacing w:line="400" w:lineRule="exact"/>
        <w:rPr>
          <w:rFonts w:ascii="宋体" w:hAnsi="宋体" w:cs="宋体"/>
          <w:color w:val="auto"/>
          <w:highlight w:val="none"/>
        </w:rPr>
      </w:pPr>
      <w:r>
        <w:rPr>
          <w:rFonts w:hint="eastAsia" w:ascii="宋体" w:hAnsi="宋体" w:cs="宋体"/>
          <w:color w:val="auto"/>
          <w:highlight w:val="none"/>
        </w:rPr>
        <w:t>日期：   年   月   日</w:t>
      </w:r>
    </w:p>
    <w:p w14:paraId="20820F2F">
      <w:pPr>
        <w:pStyle w:val="73"/>
        <w:rPr>
          <w:rFonts w:ascii="宋体" w:hAnsi="宋体" w:cs="宋体"/>
          <w:color w:val="auto"/>
          <w:highlight w:val="none"/>
        </w:rPr>
        <w:sectPr>
          <w:pgSz w:w="11907" w:h="16838"/>
          <w:pgMar w:top="1418" w:right="1129" w:bottom="1418" w:left="1278" w:header="851" w:footer="992" w:gutter="0"/>
          <w:pgNumType w:fmt="decimal"/>
          <w:cols w:space="720" w:num="1"/>
          <w:titlePg/>
          <w:docGrid w:linePitch="318" w:charSpace="0"/>
        </w:sectPr>
      </w:pPr>
    </w:p>
    <w:p w14:paraId="3E482B9A">
      <w:pPr>
        <w:ind w:firstLine="0" w:firstLineChars="0"/>
        <w:rPr>
          <w:rFonts w:hint="eastAsia" w:ascii="宋体" w:hAnsi="宋体" w:eastAsia="宋体" w:cs="宋体"/>
          <w:b/>
          <w:bCs/>
          <w:color w:val="auto"/>
          <w:highlight w:val="none"/>
          <w:lang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三</w:t>
      </w:r>
    </w:p>
    <w:p w14:paraId="71BD8E35">
      <w:pPr>
        <w:spacing w:line="480" w:lineRule="exact"/>
        <w:ind w:firstLine="643"/>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法定代表人身份证明书</w:t>
      </w:r>
    </w:p>
    <w:p w14:paraId="10056A3D">
      <w:pPr>
        <w:adjustRightInd w:val="0"/>
        <w:spacing w:line="500" w:lineRule="exact"/>
        <w:jc w:val="center"/>
        <w:textAlignment w:val="baseline"/>
        <w:rPr>
          <w:rFonts w:ascii="宋体" w:hAnsi="宋体" w:cs="宋体"/>
          <w:color w:val="auto"/>
          <w:kern w:val="0"/>
          <w:highlight w:val="none"/>
        </w:rPr>
      </w:pPr>
    </w:p>
    <w:p w14:paraId="3AC957B0">
      <w:pPr>
        <w:adjustRightInd w:val="0"/>
        <w:snapToGrid w:val="0"/>
        <w:spacing w:line="480" w:lineRule="auto"/>
        <w:textAlignment w:val="baseline"/>
        <w:rPr>
          <w:rFonts w:ascii="宋体" w:hAnsi="宋体" w:cs="宋体"/>
          <w:color w:val="auto"/>
          <w:kern w:val="0"/>
          <w:highlight w:val="none"/>
        </w:rPr>
      </w:pPr>
      <w:r>
        <w:rPr>
          <w:rFonts w:hint="eastAsia" w:ascii="宋体" w:hAnsi="宋体" w:cs="宋体"/>
          <w:color w:val="auto"/>
          <w:kern w:val="0"/>
          <w:highlight w:val="none"/>
        </w:rPr>
        <w:t>单位名称：</w:t>
      </w:r>
      <w:r>
        <w:rPr>
          <w:rFonts w:hint="eastAsia" w:ascii="宋体" w:hAnsi="宋体" w:cs="宋体"/>
          <w:color w:val="auto"/>
          <w:kern w:val="0"/>
          <w:highlight w:val="none"/>
          <w:u w:val="single"/>
        </w:rPr>
        <w:t xml:space="preserve">                                 </w:t>
      </w:r>
    </w:p>
    <w:p w14:paraId="5935D73F">
      <w:pPr>
        <w:adjustRightInd w:val="0"/>
        <w:snapToGrid w:val="0"/>
        <w:spacing w:line="480" w:lineRule="auto"/>
        <w:textAlignment w:val="baseline"/>
        <w:rPr>
          <w:rFonts w:ascii="宋体" w:hAnsi="宋体" w:cs="宋体"/>
          <w:color w:val="auto"/>
          <w:kern w:val="0"/>
          <w:highlight w:val="none"/>
        </w:rPr>
      </w:pPr>
      <w:r>
        <w:rPr>
          <w:rFonts w:hint="eastAsia" w:ascii="宋体" w:hAnsi="宋体" w:cs="宋体"/>
          <w:color w:val="auto"/>
          <w:kern w:val="0"/>
          <w:highlight w:val="none"/>
        </w:rPr>
        <w:t>地    址：</w:t>
      </w:r>
      <w:r>
        <w:rPr>
          <w:rFonts w:hint="eastAsia" w:ascii="宋体" w:hAnsi="宋体" w:cs="宋体"/>
          <w:color w:val="auto"/>
          <w:kern w:val="0"/>
          <w:highlight w:val="none"/>
          <w:u w:val="single"/>
        </w:rPr>
        <w:t xml:space="preserve">                                 </w:t>
      </w:r>
    </w:p>
    <w:p w14:paraId="018F83B4">
      <w:pPr>
        <w:adjustRightInd w:val="0"/>
        <w:snapToGrid w:val="0"/>
        <w:spacing w:line="480" w:lineRule="auto"/>
        <w:textAlignment w:val="baseline"/>
        <w:rPr>
          <w:rFonts w:ascii="宋体" w:hAnsi="宋体" w:cs="宋体"/>
          <w:color w:val="auto"/>
          <w:kern w:val="0"/>
          <w:highlight w:val="none"/>
        </w:rPr>
      </w:pPr>
      <w:r>
        <w:rPr>
          <w:rFonts w:hint="eastAsia" w:ascii="宋体" w:hAnsi="宋体" w:cs="宋体"/>
          <w:color w:val="auto"/>
          <w:kern w:val="0"/>
          <w:highlight w:val="none"/>
        </w:rPr>
        <w:t>成立时间：</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年</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月</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日</w:t>
      </w:r>
    </w:p>
    <w:p w14:paraId="79BC2E82">
      <w:pPr>
        <w:adjustRightInd w:val="0"/>
        <w:snapToGrid w:val="0"/>
        <w:spacing w:line="480" w:lineRule="auto"/>
        <w:textAlignment w:val="baseline"/>
        <w:rPr>
          <w:rFonts w:ascii="宋体" w:hAnsi="宋体" w:cs="宋体"/>
          <w:color w:val="auto"/>
          <w:kern w:val="0"/>
          <w:highlight w:val="none"/>
        </w:rPr>
      </w:pPr>
      <w:r>
        <w:rPr>
          <w:rFonts w:hint="eastAsia" w:ascii="宋体" w:hAnsi="宋体" w:cs="宋体"/>
          <w:color w:val="auto"/>
          <w:kern w:val="0"/>
          <w:highlight w:val="none"/>
        </w:rPr>
        <w:t>经营期限：</w:t>
      </w:r>
      <w:r>
        <w:rPr>
          <w:rFonts w:hint="eastAsia" w:ascii="宋体" w:hAnsi="宋体" w:cs="宋体"/>
          <w:color w:val="auto"/>
          <w:kern w:val="0"/>
          <w:highlight w:val="none"/>
          <w:u w:val="single"/>
        </w:rPr>
        <w:t xml:space="preserve">                                  </w:t>
      </w:r>
    </w:p>
    <w:p w14:paraId="4351322E">
      <w:pPr>
        <w:adjustRightInd w:val="0"/>
        <w:snapToGrid w:val="0"/>
        <w:spacing w:line="480" w:lineRule="auto"/>
        <w:textAlignment w:val="baseline"/>
        <w:rPr>
          <w:rFonts w:ascii="宋体" w:hAnsi="宋体" w:cs="宋体"/>
          <w:color w:val="auto"/>
          <w:kern w:val="0"/>
          <w:highlight w:val="none"/>
          <w:u w:val="single"/>
        </w:rPr>
      </w:pPr>
      <w:r>
        <w:rPr>
          <w:rFonts w:hint="eastAsia" w:ascii="宋体" w:hAnsi="宋体" w:cs="宋体"/>
          <w:color w:val="auto"/>
          <w:kern w:val="0"/>
          <w:highlight w:val="none"/>
        </w:rPr>
        <w:t>姓    名：</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性别：</w:t>
      </w:r>
      <w:r>
        <w:rPr>
          <w:rFonts w:hint="eastAsia" w:ascii="宋体" w:hAnsi="宋体" w:cs="宋体"/>
          <w:color w:val="auto"/>
          <w:kern w:val="0"/>
          <w:highlight w:val="none"/>
          <w:u w:val="single"/>
        </w:rPr>
        <w:t xml:space="preserve">             </w:t>
      </w:r>
    </w:p>
    <w:p w14:paraId="1CFEE4F5">
      <w:pPr>
        <w:adjustRightInd w:val="0"/>
        <w:snapToGrid w:val="0"/>
        <w:spacing w:line="480" w:lineRule="auto"/>
        <w:textAlignment w:val="baseline"/>
        <w:rPr>
          <w:rFonts w:ascii="宋体" w:hAnsi="宋体" w:cs="宋体"/>
          <w:color w:val="auto"/>
          <w:kern w:val="0"/>
          <w:highlight w:val="none"/>
          <w:u w:val="single"/>
        </w:rPr>
      </w:pPr>
      <w:r>
        <w:rPr>
          <w:rFonts w:hint="eastAsia" w:ascii="宋体" w:hAnsi="宋体" w:cs="宋体"/>
          <w:color w:val="auto"/>
          <w:kern w:val="0"/>
          <w:highlight w:val="none"/>
        </w:rPr>
        <w:t>职务：</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系：</w:t>
      </w:r>
      <w:r>
        <w:rPr>
          <w:rFonts w:hint="eastAsia" w:ascii="宋体" w:hAnsi="宋体" w:cs="宋体"/>
          <w:color w:val="auto"/>
          <w:kern w:val="0"/>
          <w:highlight w:val="none"/>
          <w:u w:val="single"/>
        </w:rPr>
        <w:t xml:space="preserve">     (投标单位名称)           </w:t>
      </w:r>
    </w:p>
    <w:p w14:paraId="79A24119">
      <w:pPr>
        <w:adjustRightInd w:val="0"/>
        <w:snapToGrid w:val="0"/>
        <w:spacing w:line="480" w:lineRule="auto"/>
        <w:textAlignment w:val="baseline"/>
        <w:rPr>
          <w:rFonts w:ascii="宋体" w:hAnsi="宋体" w:cs="宋体"/>
          <w:color w:val="auto"/>
          <w:kern w:val="0"/>
          <w:highlight w:val="none"/>
        </w:rPr>
      </w:pP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的法定代表人。</w:t>
      </w:r>
    </w:p>
    <w:p w14:paraId="60A861D4">
      <w:pPr>
        <w:adjustRightInd w:val="0"/>
        <w:textAlignment w:val="baseline"/>
        <w:rPr>
          <w:rFonts w:ascii="宋体" w:hAnsi="宋体" w:cs="宋体"/>
          <w:color w:val="auto"/>
          <w:kern w:val="0"/>
          <w:highlight w:val="none"/>
        </w:rPr>
      </w:pPr>
    </w:p>
    <w:p w14:paraId="36BDE4B2">
      <w:pPr>
        <w:adjustRightInd w:val="0"/>
        <w:textAlignment w:val="baseline"/>
        <w:rPr>
          <w:rFonts w:ascii="宋体" w:hAnsi="宋体" w:cs="宋体"/>
          <w:color w:val="auto"/>
          <w:kern w:val="0"/>
          <w:highlight w:val="none"/>
        </w:rPr>
      </w:pPr>
      <w:r>
        <w:rPr>
          <w:rFonts w:hint="eastAsia" w:ascii="宋体" w:hAnsi="宋体" w:cs="宋体"/>
          <w:color w:val="auto"/>
          <w:kern w:val="0"/>
          <w:highlight w:val="none"/>
        </w:rPr>
        <w:t>特此证明</w:t>
      </w:r>
    </w:p>
    <w:p w14:paraId="2DFB62F9">
      <w:pPr>
        <w:adjustRightInd w:val="0"/>
        <w:textAlignment w:val="baseline"/>
        <w:rPr>
          <w:rFonts w:ascii="宋体" w:hAnsi="宋体" w:cs="宋体"/>
          <w:color w:val="auto"/>
          <w:kern w:val="0"/>
          <w:highlight w:val="none"/>
        </w:rPr>
      </w:pPr>
    </w:p>
    <w:p w14:paraId="2010A9EC">
      <w:pPr>
        <w:adjustRightInd w:val="0"/>
        <w:ind w:firstLine="2640" w:firstLineChars="1100"/>
        <w:textAlignment w:val="baseline"/>
        <w:rPr>
          <w:rFonts w:ascii="宋体" w:hAnsi="宋体" w:cs="宋体"/>
          <w:color w:val="auto"/>
          <w:kern w:val="0"/>
          <w:highlight w:val="none"/>
        </w:rPr>
      </w:pPr>
      <w:r>
        <w:rPr>
          <w:rFonts w:hint="eastAsia" w:ascii="宋体" w:hAnsi="宋体" w:cs="宋体"/>
          <w:color w:val="auto"/>
          <w:highlight w:val="none"/>
        </w:rPr>
        <w:t>投标人全称（盖单位公章）</w:t>
      </w:r>
      <w:r>
        <w:rPr>
          <w:rFonts w:hint="eastAsia" w:ascii="宋体" w:hAnsi="宋体" w:cs="宋体"/>
          <w:color w:val="auto"/>
          <w:kern w:val="0"/>
          <w:highlight w:val="none"/>
        </w:rPr>
        <w:t>：</w:t>
      </w:r>
      <w:r>
        <w:rPr>
          <w:rFonts w:hint="eastAsia" w:ascii="宋体" w:hAnsi="宋体" w:cs="宋体"/>
          <w:color w:val="auto"/>
          <w:kern w:val="0"/>
          <w:highlight w:val="none"/>
          <w:u w:val="single"/>
        </w:rPr>
        <w:t xml:space="preserve">                </w:t>
      </w:r>
    </w:p>
    <w:p w14:paraId="3A5396CE">
      <w:pPr>
        <w:adjustRightInd w:val="0"/>
        <w:ind w:firstLine="3840" w:firstLineChars="1600"/>
        <w:textAlignment w:val="baseline"/>
        <w:rPr>
          <w:rFonts w:ascii="宋体" w:hAnsi="宋体" w:cs="宋体"/>
          <w:color w:val="auto"/>
          <w:kern w:val="0"/>
          <w:highlight w:val="none"/>
        </w:rPr>
      </w:pPr>
    </w:p>
    <w:p w14:paraId="33CD2F09">
      <w:pPr>
        <w:adjustRightInd w:val="0"/>
        <w:ind w:firstLine="4320" w:firstLineChars="1800"/>
        <w:textAlignment w:val="baseline"/>
        <w:rPr>
          <w:rFonts w:ascii="宋体" w:hAnsi="宋体" w:cs="宋体"/>
          <w:color w:val="auto"/>
          <w:kern w:val="0"/>
          <w:highlight w:val="none"/>
        </w:rPr>
      </w:pPr>
      <w:r>
        <w:rPr>
          <w:rFonts w:hint="eastAsia" w:ascii="宋体" w:hAnsi="宋体" w:cs="宋体"/>
          <w:color w:val="auto"/>
          <w:kern w:val="0"/>
          <w:highlight w:val="none"/>
        </w:rPr>
        <w:t xml:space="preserve">   年      月      日</w:t>
      </w:r>
    </w:p>
    <w:p w14:paraId="619229B6">
      <w:pPr>
        <w:widowControl/>
        <w:ind w:firstLine="482"/>
        <w:rPr>
          <w:rFonts w:ascii="宋体" w:hAnsi="宋体" w:cs="宋体"/>
          <w:b/>
          <w:bCs/>
          <w:color w:val="auto"/>
          <w:kern w:val="0"/>
          <w:highlight w:val="none"/>
        </w:rPr>
      </w:pPr>
    </w:p>
    <w:p w14:paraId="3F5702DC">
      <w:pPr>
        <w:adjustRightInd w:val="0"/>
        <w:snapToGrid w:val="0"/>
        <w:ind w:firstLine="0" w:firstLineChars="0"/>
        <w:rPr>
          <w:rFonts w:ascii="宋体" w:hAnsi="宋体" w:cs="宋体"/>
          <w:b/>
          <w:bCs/>
          <w:color w:val="auto"/>
          <w:highlight w:val="none"/>
        </w:rPr>
      </w:pPr>
      <w:r>
        <w:rPr>
          <w:rFonts w:hint="eastAsia" w:ascii="宋体" w:hAnsi="宋体" w:cs="宋体"/>
          <w:b/>
          <w:bCs/>
          <w:color w:val="auto"/>
          <w:highlight w:val="none"/>
        </w:rPr>
        <w:t>附：法定代表人身份证</w:t>
      </w:r>
      <w:r>
        <w:rPr>
          <w:rFonts w:hint="eastAsia" w:ascii="宋体" w:hAnsi="宋体" w:cs="宋体"/>
          <w:b/>
          <w:color w:val="auto"/>
          <w:highlight w:val="none"/>
          <w:lang w:val="en-US" w:eastAsia="zh-CN"/>
        </w:rPr>
        <w:t>复印件</w:t>
      </w:r>
      <w:r>
        <w:rPr>
          <w:rFonts w:hint="eastAsia" w:ascii="宋体" w:hAnsi="宋体" w:cs="宋体"/>
          <w:b/>
          <w:color w:val="auto"/>
          <w:highlight w:val="none"/>
        </w:rPr>
        <w:t>加盖</w:t>
      </w:r>
      <w:r>
        <w:rPr>
          <w:rFonts w:hint="eastAsia" w:ascii="宋体" w:hAnsi="宋体" w:cs="宋体"/>
          <w:b/>
          <w:color w:val="auto"/>
          <w:highlight w:val="none"/>
          <w:lang w:val="en-US" w:eastAsia="zh-CN"/>
        </w:rPr>
        <w:t>投标人</w:t>
      </w:r>
      <w:r>
        <w:rPr>
          <w:rFonts w:hint="eastAsia" w:ascii="宋体" w:hAnsi="宋体" w:cs="宋体"/>
          <w:b/>
          <w:color w:val="auto"/>
          <w:highlight w:val="none"/>
        </w:rPr>
        <w:t>公章。</w:t>
      </w:r>
    </w:p>
    <w:p w14:paraId="0815804D">
      <w:pPr>
        <w:adjustRightInd w:val="0"/>
        <w:snapToGrid w:val="0"/>
        <w:ind w:firstLine="482"/>
        <w:rPr>
          <w:rFonts w:ascii="宋体" w:hAnsi="宋体" w:cs="宋体"/>
          <w:b/>
          <w:bCs/>
          <w:color w:val="auto"/>
          <w:highlight w:val="none"/>
        </w:rPr>
      </w:pPr>
    </w:p>
    <w:p w14:paraId="3BE7BD4D">
      <w:pPr>
        <w:widowControl/>
        <w:ind w:firstLine="482"/>
        <w:rPr>
          <w:rFonts w:ascii="宋体" w:hAnsi="宋体" w:cs="宋体"/>
          <w:b/>
          <w:bCs/>
          <w:color w:val="auto"/>
          <w:kern w:val="0"/>
          <w:szCs w:val="28"/>
          <w:highlight w:val="none"/>
        </w:rPr>
      </w:pPr>
    </w:p>
    <w:p w14:paraId="4455F6B5">
      <w:pPr>
        <w:pStyle w:val="18"/>
        <w:ind w:firstLine="560"/>
        <w:rPr>
          <w:rFonts w:ascii="宋体" w:hAnsi="宋体" w:eastAsia="宋体" w:cs="宋体"/>
          <w:color w:val="auto"/>
          <w:highlight w:val="none"/>
        </w:rPr>
      </w:pPr>
    </w:p>
    <w:p w14:paraId="30E65F63">
      <w:pPr>
        <w:pStyle w:val="18"/>
        <w:ind w:firstLine="560"/>
        <w:rPr>
          <w:rFonts w:ascii="宋体" w:hAnsi="宋体" w:eastAsia="宋体" w:cs="宋体"/>
          <w:color w:val="auto"/>
          <w:highlight w:val="none"/>
        </w:rPr>
      </w:pPr>
    </w:p>
    <w:p w14:paraId="10E62672">
      <w:pPr>
        <w:pStyle w:val="18"/>
        <w:ind w:firstLine="560"/>
        <w:rPr>
          <w:rFonts w:ascii="宋体" w:hAnsi="宋体" w:eastAsia="宋体" w:cs="宋体"/>
          <w:color w:val="auto"/>
          <w:highlight w:val="none"/>
        </w:rPr>
      </w:pPr>
    </w:p>
    <w:p w14:paraId="685D8FD8">
      <w:pPr>
        <w:pStyle w:val="18"/>
        <w:ind w:firstLine="560"/>
        <w:rPr>
          <w:rFonts w:ascii="宋体" w:hAnsi="宋体" w:eastAsia="宋体" w:cs="宋体"/>
          <w:color w:val="auto"/>
          <w:highlight w:val="none"/>
        </w:rPr>
      </w:pPr>
    </w:p>
    <w:p w14:paraId="3BE32627">
      <w:pPr>
        <w:pStyle w:val="3"/>
        <w:keepNext w:val="0"/>
        <w:keepLines w:val="0"/>
        <w:jc w:val="center"/>
        <w:rPr>
          <w:rFonts w:ascii="宋体" w:hAnsi="宋体" w:cs="宋体"/>
          <w:color w:val="auto"/>
          <w:highlight w:val="none"/>
        </w:rPr>
      </w:pPr>
      <w:r>
        <w:rPr>
          <w:rFonts w:hint="eastAsia" w:ascii="宋体" w:hAnsi="宋体" w:cs="宋体"/>
          <w:color w:val="auto"/>
          <w:highlight w:val="none"/>
        </w:rPr>
        <w:t xml:space="preserve">法定代表人授权书 </w:t>
      </w:r>
    </w:p>
    <w:p w14:paraId="143B84E1">
      <w:pPr>
        <w:pStyle w:val="73"/>
        <w:rPr>
          <w:rFonts w:ascii="宋体" w:hAnsi="宋体" w:cs="宋体"/>
          <w:color w:val="auto"/>
          <w:highlight w:val="none"/>
        </w:rPr>
      </w:pPr>
    </w:p>
    <w:p w14:paraId="4A6575FE">
      <w:pPr>
        <w:pStyle w:val="73"/>
        <w:rPr>
          <w:rFonts w:ascii="宋体" w:hAnsi="宋体" w:cs="宋体"/>
          <w:color w:val="auto"/>
          <w:highlight w:val="none"/>
        </w:rPr>
      </w:pPr>
      <w:r>
        <w:rPr>
          <w:rFonts w:hint="eastAsia" w:ascii="宋体" w:hAnsi="宋体" w:cs="宋体"/>
          <w:color w:val="auto"/>
          <w:highlight w:val="none"/>
        </w:rPr>
        <w:t>本授权书声明：</w:t>
      </w:r>
      <w:r>
        <w:rPr>
          <w:rFonts w:hint="eastAsia" w:ascii="宋体" w:hAnsi="宋体" w:cs="宋体"/>
          <w:color w:val="auto"/>
          <w:highlight w:val="none"/>
          <w:u w:val="single"/>
        </w:rPr>
        <w:t xml:space="preserve">（投标人单位名称）          （法定代表人姓名）        </w:t>
      </w:r>
      <w:r>
        <w:rPr>
          <w:rFonts w:hint="eastAsia" w:ascii="宋体" w:hAnsi="宋体" w:cs="宋体"/>
          <w:color w:val="auto"/>
          <w:highlight w:val="none"/>
        </w:rPr>
        <w:t>授权（</w:t>
      </w:r>
      <w:r>
        <w:rPr>
          <w:rFonts w:hint="eastAsia" w:ascii="宋体" w:hAnsi="宋体" w:cs="宋体"/>
          <w:color w:val="auto"/>
          <w:highlight w:val="none"/>
          <w:u w:val="single"/>
        </w:rPr>
        <w:t xml:space="preserve">被授权人的姓名）           </w:t>
      </w:r>
      <w:r>
        <w:rPr>
          <w:rFonts w:hint="eastAsia" w:ascii="宋体" w:hAnsi="宋体" w:cs="宋体"/>
          <w:color w:val="auto"/>
          <w:highlight w:val="none"/>
        </w:rPr>
        <w:t xml:space="preserve">为我方就 </w:t>
      </w:r>
      <w:r>
        <w:rPr>
          <w:rFonts w:hint="eastAsia" w:ascii="宋体" w:hAnsi="宋体" w:cs="宋体"/>
          <w:color w:val="auto"/>
          <w:highlight w:val="none"/>
          <w:u w:val="single"/>
        </w:rPr>
        <w:t xml:space="preserve">                     </w:t>
      </w:r>
      <w:r>
        <w:rPr>
          <w:rFonts w:hint="eastAsia" w:ascii="宋体" w:hAnsi="宋体" w:cs="宋体"/>
          <w:color w:val="auto"/>
          <w:highlight w:val="none"/>
        </w:rPr>
        <w:t>项目投标活动的授权委托人（即代理人），以本公司名义全权处理一切与该项目投标有关的事务。</w:t>
      </w:r>
    </w:p>
    <w:p w14:paraId="316C6B57">
      <w:pPr>
        <w:pStyle w:val="73"/>
        <w:rPr>
          <w:rFonts w:ascii="宋体" w:hAnsi="宋体" w:cs="宋体"/>
          <w:color w:val="auto"/>
          <w:kern w:val="2"/>
          <w:highlight w:val="none"/>
        </w:rPr>
      </w:pPr>
      <w:r>
        <w:rPr>
          <w:rFonts w:hint="eastAsia" w:ascii="宋体" w:hAnsi="宋体" w:cs="宋体"/>
          <w:color w:val="auto"/>
          <w:kern w:val="2"/>
          <w:highlight w:val="none"/>
        </w:rPr>
        <w:t>授权委托人（即代理人）</w:t>
      </w:r>
      <w:r>
        <w:rPr>
          <w:rFonts w:hint="eastAsia" w:ascii="宋体" w:hAnsi="宋体" w:cs="宋体"/>
          <w:color w:val="auto"/>
          <w:highlight w:val="none"/>
        </w:rPr>
        <w:t>在授权委托书有效期内签署的所有文件不因授权委托的撤销而失效，</w:t>
      </w:r>
      <w:r>
        <w:rPr>
          <w:rFonts w:hint="eastAsia" w:ascii="宋体" w:hAnsi="宋体" w:cs="宋体"/>
          <w:color w:val="auto"/>
          <w:kern w:val="2"/>
          <w:highlight w:val="none"/>
        </w:rPr>
        <w:t>授权委托人（即代理人）</w:t>
      </w:r>
      <w:r>
        <w:rPr>
          <w:rFonts w:hint="eastAsia" w:ascii="宋体" w:hAnsi="宋体" w:cs="宋体"/>
          <w:color w:val="auto"/>
          <w:highlight w:val="none"/>
        </w:rPr>
        <w:t>在开标、评标、合同谈判过程中所签署的一切文件和处理与这有关的一切事务，我方均予以承认。</w:t>
      </w:r>
    </w:p>
    <w:p w14:paraId="275EA8D2">
      <w:pPr>
        <w:pStyle w:val="73"/>
        <w:rPr>
          <w:rFonts w:ascii="宋体" w:hAnsi="宋体" w:cs="宋体"/>
          <w:color w:val="auto"/>
          <w:highlight w:val="none"/>
        </w:rPr>
      </w:pPr>
      <w:r>
        <w:rPr>
          <w:rFonts w:hint="eastAsia" w:ascii="宋体" w:hAnsi="宋体" w:cs="宋体"/>
          <w:color w:val="auto"/>
          <w:highlight w:val="none"/>
        </w:rPr>
        <w:t>本授权书于</w:t>
      </w:r>
      <w:r>
        <w:rPr>
          <w:rFonts w:hint="eastAsia" w:ascii="宋体" w:hAnsi="宋体"/>
          <w:color w:val="auto"/>
          <w:highlight w:val="none"/>
          <w:u w:val="single"/>
        </w:rPr>
        <w:t xml:space="preserve">      </w:t>
      </w:r>
      <w:r>
        <w:rPr>
          <w:rFonts w:hint="eastAsia" w:ascii="宋体" w:hAnsi="宋体"/>
          <w:color w:val="auto"/>
          <w:highlight w:val="none"/>
        </w:rPr>
        <w:t>年____月____日</w:t>
      </w:r>
      <w:r>
        <w:rPr>
          <w:rFonts w:hint="eastAsia" w:ascii="宋体" w:hAnsi="宋体" w:cs="宋体"/>
          <w:color w:val="auto"/>
          <w:highlight w:val="none"/>
        </w:rPr>
        <w:t>签字或盖章生效，特此声明。</w:t>
      </w:r>
    </w:p>
    <w:p w14:paraId="757F4D50">
      <w:pPr>
        <w:pStyle w:val="73"/>
        <w:rPr>
          <w:rFonts w:ascii="宋体" w:hAnsi="宋体" w:cs="宋体"/>
          <w:color w:val="auto"/>
          <w:highlight w:val="none"/>
        </w:rPr>
      </w:pPr>
      <w:r>
        <w:rPr>
          <w:rFonts w:hint="eastAsia" w:ascii="宋体" w:hAnsi="宋体" w:cs="宋体"/>
          <w:color w:val="auto"/>
          <w:highlight w:val="none"/>
        </w:rPr>
        <w:t>授权委托人（即代理人）无转委托权，特此委托。</w:t>
      </w:r>
    </w:p>
    <w:p w14:paraId="2FC5EBC7">
      <w:pPr>
        <w:pStyle w:val="73"/>
        <w:rPr>
          <w:rFonts w:ascii="宋体" w:hAnsi="宋体" w:cs="宋体"/>
          <w:color w:val="auto"/>
          <w:highlight w:val="none"/>
        </w:rPr>
      </w:pPr>
    </w:p>
    <w:p w14:paraId="56F2F28E">
      <w:pPr>
        <w:pStyle w:val="73"/>
        <w:spacing w:before="0" w:after="0" w:line="420" w:lineRule="exact"/>
        <w:rPr>
          <w:rFonts w:ascii="宋体" w:hAnsi="宋体" w:cs="华文中宋"/>
          <w:color w:val="auto"/>
          <w:kern w:val="2"/>
          <w:szCs w:val="21"/>
          <w:highlight w:val="none"/>
        </w:rPr>
      </w:pPr>
      <w:r>
        <w:rPr>
          <w:rFonts w:hint="eastAsia"/>
          <w:color w:val="auto"/>
          <w:highlight w:val="none"/>
        </w:rPr>
        <w:t>投标</w:t>
      </w:r>
      <w:r>
        <w:rPr>
          <w:rFonts w:hint="eastAsia" w:ascii="宋体" w:hAnsi="宋体"/>
          <w:color w:val="auto"/>
          <w:highlight w:val="none"/>
        </w:rPr>
        <w:t>人全称（盖单位公章）</w:t>
      </w:r>
      <w:r>
        <w:rPr>
          <w:rFonts w:hint="eastAsia" w:ascii="宋体" w:hAnsi="宋体" w:cs="华文中宋"/>
          <w:color w:val="auto"/>
          <w:kern w:val="2"/>
          <w:szCs w:val="21"/>
          <w:highlight w:val="none"/>
        </w:rPr>
        <w:t>：_____________________________________</w:t>
      </w:r>
    </w:p>
    <w:p w14:paraId="41501371">
      <w:pPr>
        <w:pStyle w:val="73"/>
        <w:spacing w:before="0" w:after="0" w:line="420" w:lineRule="exact"/>
        <w:rPr>
          <w:rFonts w:ascii="宋体" w:hAnsi="宋体" w:cs="华文中宋"/>
          <w:color w:val="auto"/>
          <w:kern w:val="2"/>
          <w:szCs w:val="21"/>
          <w:highlight w:val="none"/>
        </w:rPr>
      </w:pPr>
      <w:r>
        <w:rPr>
          <w:rFonts w:hint="eastAsia" w:ascii="宋体" w:hAnsi="宋体" w:cs="华文中宋"/>
          <w:color w:val="auto"/>
          <w:kern w:val="2"/>
          <w:szCs w:val="21"/>
          <w:highlight w:val="none"/>
        </w:rPr>
        <w:t xml:space="preserve">     </w:t>
      </w:r>
    </w:p>
    <w:p w14:paraId="3806B86F">
      <w:pPr>
        <w:pStyle w:val="73"/>
        <w:spacing w:before="0" w:after="0" w:line="420" w:lineRule="exact"/>
        <w:rPr>
          <w:rFonts w:ascii="宋体" w:hAnsi="宋体" w:cs="华文中宋"/>
          <w:color w:val="auto"/>
          <w:kern w:val="2"/>
          <w:szCs w:val="21"/>
          <w:highlight w:val="none"/>
        </w:rPr>
      </w:pPr>
      <w:r>
        <w:rPr>
          <w:rFonts w:hint="eastAsia" w:ascii="宋体" w:hAnsi="宋体" w:cs="华文中宋"/>
          <w:color w:val="auto"/>
          <w:kern w:val="2"/>
          <w:szCs w:val="21"/>
          <w:highlight w:val="none"/>
        </w:rPr>
        <w:t>法定代表人（签字或盖章）：___________________________</w:t>
      </w:r>
    </w:p>
    <w:p w14:paraId="74DE40C1">
      <w:pPr>
        <w:pStyle w:val="73"/>
        <w:spacing w:before="0" w:after="0" w:line="420" w:lineRule="exact"/>
        <w:rPr>
          <w:rFonts w:ascii="宋体" w:hAnsi="宋体" w:cs="华文中宋"/>
          <w:color w:val="auto"/>
          <w:kern w:val="2"/>
          <w:szCs w:val="21"/>
          <w:highlight w:val="none"/>
        </w:rPr>
      </w:pPr>
      <w:r>
        <w:rPr>
          <w:rFonts w:hint="eastAsia" w:ascii="宋体" w:hAnsi="宋体" w:cs="华文中宋"/>
          <w:color w:val="auto"/>
          <w:kern w:val="2"/>
          <w:szCs w:val="21"/>
          <w:highlight w:val="none"/>
        </w:rPr>
        <w:t xml:space="preserve"> </w:t>
      </w:r>
    </w:p>
    <w:p w14:paraId="0D67226E">
      <w:pPr>
        <w:pStyle w:val="73"/>
        <w:spacing w:before="0" w:after="0" w:line="420" w:lineRule="exact"/>
        <w:rPr>
          <w:rFonts w:ascii="宋体" w:hAnsi="宋体" w:cs="华文中宋"/>
          <w:color w:val="auto"/>
          <w:kern w:val="2"/>
          <w:szCs w:val="21"/>
          <w:highlight w:val="none"/>
        </w:rPr>
      </w:pPr>
      <w:r>
        <w:rPr>
          <w:rFonts w:hint="eastAsia" w:ascii="宋体" w:hAnsi="宋体" w:cs="华文中宋"/>
          <w:color w:val="auto"/>
          <w:kern w:val="2"/>
          <w:szCs w:val="21"/>
          <w:highlight w:val="none"/>
        </w:rPr>
        <w:t>代理人（被授权人）签字或盖章：_____________________________</w:t>
      </w:r>
    </w:p>
    <w:p w14:paraId="48A0823E">
      <w:pPr>
        <w:pStyle w:val="73"/>
        <w:spacing w:before="0" w:after="0" w:line="420" w:lineRule="exact"/>
        <w:rPr>
          <w:rFonts w:ascii="宋体" w:hAnsi="宋体" w:cs="华文中宋"/>
          <w:color w:val="auto"/>
          <w:kern w:val="2"/>
          <w:szCs w:val="21"/>
          <w:highlight w:val="none"/>
        </w:rPr>
      </w:pPr>
    </w:p>
    <w:p w14:paraId="50B16BC6">
      <w:pPr>
        <w:pStyle w:val="73"/>
        <w:spacing w:before="0" w:after="0" w:line="420" w:lineRule="exact"/>
        <w:rPr>
          <w:rFonts w:ascii="宋体" w:hAnsi="宋体" w:cs="华文中宋"/>
          <w:color w:val="auto"/>
          <w:kern w:val="2"/>
          <w:szCs w:val="21"/>
          <w:highlight w:val="none"/>
        </w:rPr>
      </w:pPr>
      <w:r>
        <w:rPr>
          <w:rFonts w:hint="eastAsia" w:ascii="宋体" w:hAnsi="宋体" w:cs="华文中宋"/>
          <w:color w:val="auto"/>
          <w:kern w:val="2"/>
          <w:szCs w:val="21"/>
          <w:highlight w:val="none"/>
        </w:rPr>
        <w:t>联系电话：___________________________</w:t>
      </w:r>
    </w:p>
    <w:p w14:paraId="4180704F">
      <w:pPr>
        <w:pStyle w:val="73"/>
        <w:spacing w:before="0" w:after="0" w:line="420" w:lineRule="exact"/>
        <w:rPr>
          <w:rFonts w:ascii="宋体" w:hAnsi="宋体" w:cs="华文中宋"/>
          <w:color w:val="auto"/>
          <w:kern w:val="2"/>
          <w:szCs w:val="21"/>
          <w:highlight w:val="none"/>
        </w:rPr>
      </w:pPr>
    </w:p>
    <w:p w14:paraId="77615752">
      <w:pPr>
        <w:pStyle w:val="73"/>
        <w:spacing w:before="0" w:after="0" w:line="420" w:lineRule="exact"/>
        <w:rPr>
          <w:rFonts w:ascii="宋体" w:hAnsi="宋体"/>
          <w:color w:val="auto"/>
          <w:kern w:val="2"/>
          <w:szCs w:val="21"/>
          <w:highlight w:val="none"/>
        </w:rPr>
      </w:pPr>
      <w:r>
        <w:rPr>
          <w:rFonts w:hint="eastAsia" w:ascii="宋体" w:hAnsi="宋体" w:cs="华文中宋"/>
          <w:color w:val="auto"/>
          <w:kern w:val="2"/>
          <w:szCs w:val="21"/>
          <w:highlight w:val="none"/>
        </w:rPr>
        <w:t xml:space="preserve"> 日     期：</w:t>
      </w:r>
      <w:r>
        <w:rPr>
          <w:rFonts w:hint="eastAsia" w:ascii="宋体" w:hAnsi="宋体"/>
          <w:color w:val="auto"/>
          <w:highlight w:val="none"/>
          <w:u w:val="single"/>
        </w:rPr>
        <w:t xml:space="preserve">      </w:t>
      </w:r>
      <w:r>
        <w:rPr>
          <w:rFonts w:hint="eastAsia" w:ascii="宋体" w:hAnsi="宋体"/>
          <w:color w:val="auto"/>
          <w:highlight w:val="none"/>
        </w:rPr>
        <w:t>年____月____日</w:t>
      </w:r>
    </w:p>
    <w:p w14:paraId="3296454D">
      <w:pPr>
        <w:adjustRightInd w:val="0"/>
        <w:snapToGrid w:val="0"/>
        <w:ind w:firstLine="0" w:firstLineChars="0"/>
        <w:rPr>
          <w:rFonts w:ascii="宋体" w:hAnsi="宋体" w:cs="宋体"/>
          <w:b/>
          <w:bCs/>
          <w:color w:val="auto"/>
          <w:highlight w:val="none"/>
        </w:rPr>
      </w:pPr>
      <w:r>
        <w:rPr>
          <w:rFonts w:hint="eastAsia" w:ascii="宋体" w:hAnsi="宋体" w:cs="宋体"/>
          <w:b/>
          <w:bCs/>
          <w:color w:val="auto"/>
          <w:highlight w:val="none"/>
        </w:rPr>
        <w:t>附：授权委托人（即代理人）身份证</w:t>
      </w:r>
      <w:r>
        <w:rPr>
          <w:rFonts w:hint="eastAsia" w:ascii="宋体" w:hAnsi="宋体" w:cs="宋体"/>
          <w:b/>
          <w:color w:val="auto"/>
          <w:highlight w:val="none"/>
          <w:lang w:val="en-US" w:eastAsia="zh-CN"/>
        </w:rPr>
        <w:t>复印件</w:t>
      </w:r>
      <w:r>
        <w:rPr>
          <w:rFonts w:hint="eastAsia" w:ascii="宋体" w:hAnsi="宋体" w:cs="宋体"/>
          <w:b/>
          <w:color w:val="auto"/>
          <w:highlight w:val="none"/>
        </w:rPr>
        <w:t>加盖</w:t>
      </w:r>
      <w:r>
        <w:rPr>
          <w:rFonts w:hint="eastAsia" w:ascii="宋体" w:hAnsi="宋体" w:cs="宋体"/>
          <w:b/>
          <w:color w:val="auto"/>
          <w:highlight w:val="none"/>
          <w:lang w:val="en-US" w:eastAsia="zh-CN"/>
        </w:rPr>
        <w:t>投标人</w:t>
      </w:r>
      <w:r>
        <w:rPr>
          <w:rFonts w:hint="eastAsia" w:ascii="宋体" w:hAnsi="宋体" w:cs="宋体"/>
          <w:b/>
          <w:color w:val="auto"/>
          <w:highlight w:val="none"/>
        </w:rPr>
        <w:t>公章。</w:t>
      </w:r>
    </w:p>
    <w:p w14:paraId="49ED74BD">
      <w:pPr>
        <w:ind w:firstLine="0" w:firstLineChars="0"/>
        <w:rPr>
          <w:rFonts w:ascii="宋体" w:hAnsi="宋体" w:cs="宋体"/>
          <w:b/>
          <w:bCs/>
          <w:color w:val="auto"/>
          <w:highlight w:val="none"/>
        </w:rPr>
      </w:pPr>
    </w:p>
    <w:p w14:paraId="35A4415D">
      <w:pPr>
        <w:ind w:firstLine="0" w:firstLineChars="0"/>
        <w:rPr>
          <w:rFonts w:ascii="宋体" w:hAnsi="宋体" w:cs="宋体"/>
          <w:b/>
          <w:bCs/>
          <w:color w:val="auto"/>
          <w:highlight w:val="none"/>
        </w:rPr>
      </w:pPr>
    </w:p>
    <w:p w14:paraId="796C6A4B">
      <w:pPr>
        <w:ind w:firstLine="0" w:firstLineChars="0"/>
        <w:rPr>
          <w:rFonts w:ascii="宋体" w:hAnsi="宋体" w:cs="宋体"/>
          <w:b/>
          <w:bCs/>
          <w:color w:val="auto"/>
          <w:highlight w:val="none"/>
        </w:rPr>
      </w:pPr>
    </w:p>
    <w:p w14:paraId="2808C01D">
      <w:pPr>
        <w:ind w:firstLine="0" w:firstLineChars="0"/>
        <w:rPr>
          <w:rFonts w:hint="eastAsia" w:ascii="宋体" w:hAnsi="宋体" w:cs="宋体"/>
          <w:b/>
          <w:bCs/>
          <w:color w:val="auto"/>
          <w:sz w:val="28"/>
          <w:szCs w:val="28"/>
          <w:highlight w:val="none"/>
        </w:rPr>
        <w:sectPr>
          <w:footerReference r:id="rId18" w:type="first"/>
          <w:footerReference r:id="rId17" w:type="default"/>
          <w:pgSz w:w="11906" w:h="16838"/>
          <w:pgMar w:top="1134" w:right="1134" w:bottom="1134" w:left="1576" w:header="737" w:footer="567" w:gutter="0"/>
          <w:pgNumType w:fmt="numberInDash"/>
          <w:cols w:space="720" w:num="1"/>
          <w:titlePg/>
          <w:docGrid w:type="lines" w:linePitch="310" w:charSpace="0"/>
        </w:sectPr>
      </w:pPr>
    </w:p>
    <w:p w14:paraId="40BA675F">
      <w:pPr>
        <w:ind w:firstLine="0" w:firstLineChars="0"/>
        <w:rPr>
          <w:rFonts w:ascii="宋体" w:hAnsi="宋体" w:cs="宋体"/>
          <w:b/>
          <w:bCs/>
          <w:color w:val="auto"/>
          <w:sz w:val="32"/>
          <w:szCs w:val="32"/>
          <w:highlight w:val="none"/>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四</w:t>
      </w:r>
      <w:r>
        <w:rPr>
          <w:rFonts w:hint="eastAsia" w:ascii="宋体" w:hAnsi="宋体" w:cs="宋体"/>
          <w:b/>
          <w:bCs/>
          <w:color w:val="auto"/>
          <w:sz w:val="28"/>
          <w:szCs w:val="28"/>
          <w:highlight w:val="none"/>
        </w:rPr>
        <w:t xml:space="preserve">  </w:t>
      </w:r>
      <w:r>
        <w:rPr>
          <w:rFonts w:hint="eastAsia" w:ascii="宋体" w:hAnsi="宋体" w:cs="宋体"/>
          <w:b/>
          <w:bCs/>
          <w:color w:val="auto"/>
          <w:sz w:val="32"/>
          <w:szCs w:val="32"/>
          <w:highlight w:val="none"/>
        </w:rPr>
        <w:t xml:space="preserve"> </w:t>
      </w:r>
    </w:p>
    <w:p w14:paraId="4A1C8D44">
      <w:pPr>
        <w:adjustRightInd w:val="0"/>
        <w:spacing w:line="500" w:lineRule="exact"/>
        <w:ind w:left="-2" w:right="120" w:firstLine="1928" w:firstLineChars="600"/>
        <w:textAlignment w:val="baseline"/>
        <w:rPr>
          <w:rFonts w:ascii="宋体" w:hAnsi="宋体" w:cs="宋体"/>
          <w:color w:val="auto"/>
          <w:highlight w:val="none"/>
        </w:rPr>
      </w:pPr>
      <w:r>
        <w:rPr>
          <w:rFonts w:hint="eastAsia" w:ascii="宋体" w:hAnsi="宋体"/>
          <w:b/>
          <w:color w:val="auto"/>
          <w:sz w:val="32"/>
          <w:szCs w:val="32"/>
          <w:highlight w:val="none"/>
        </w:rPr>
        <w:t>公共资源交易投标信用承诺书</w:t>
      </w:r>
    </w:p>
    <w:p w14:paraId="446436CE">
      <w:pPr>
        <w:adjustRightInd w:val="0"/>
        <w:spacing w:line="500" w:lineRule="exact"/>
        <w:ind w:left="-2" w:right="120"/>
        <w:textAlignment w:val="baseline"/>
        <w:rPr>
          <w:rFonts w:ascii="宋体" w:hAnsi="宋体" w:cs="宋体"/>
          <w:color w:val="auto"/>
          <w:highlight w:val="none"/>
        </w:rPr>
      </w:pPr>
      <w:r>
        <w:rPr>
          <w:rFonts w:hint="eastAsia" w:ascii="宋体" w:hAnsi="宋体" w:cs="宋体"/>
          <w:color w:val="auto"/>
          <w:highlight w:val="none"/>
        </w:rPr>
        <w:t>为营造公开、公平、公正的公共资源交易环境，树立诚信守法的投标人形象，本人代表本单位作出以下承诺</w:t>
      </w:r>
      <w:r>
        <w:rPr>
          <w:rFonts w:ascii="宋体" w:hAnsi="宋体" w:cs="宋体"/>
          <w:color w:val="auto"/>
          <w:highlight w:val="none"/>
        </w:rPr>
        <w:t>:</w:t>
      </w:r>
    </w:p>
    <w:p w14:paraId="53975327">
      <w:pPr>
        <w:adjustRightInd w:val="0"/>
        <w:spacing w:line="500" w:lineRule="exact"/>
        <w:ind w:left="-2" w:right="120"/>
        <w:textAlignment w:val="baseline"/>
        <w:rPr>
          <w:rFonts w:ascii="宋体" w:hAnsi="宋体" w:cs="宋体"/>
          <w:color w:val="auto"/>
          <w:highlight w:val="none"/>
        </w:rPr>
      </w:pPr>
      <w:r>
        <w:rPr>
          <w:rFonts w:hint="eastAsia" w:ascii="宋体" w:hAnsi="宋体" w:cs="宋体"/>
          <w:color w:val="auto"/>
          <w:highlight w:val="none"/>
        </w:rPr>
        <w:t>一、本单位对所提交的单位基本信息、单位负责人、项目负责人、技术负责人、从业资质和资格、业绩、财务状况、信誉等所有资料，均合法、真实、准确、有效，无任何伪造、修改、虚假成分</w:t>
      </w:r>
      <w:r>
        <w:rPr>
          <w:rFonts w:ascii="宋体" w:hAnsi="宋体" w:cs="宋体"/>
          <w:color w:val="auto"/>
          <w:highlight w:val="none"/>
        </w:rPr>
        <w:t>;</w:t>
      </w:r>
    </w:p>
    <w:p w14:paraId="6F5DE298">
      <w:pPr>
        <w:adjustRightInd w:val="0"/>
        <w:spacing w:line="500" w:lineRule="exact"/>
        <w:ind w:left="-2" w:right="120"/>
        <w:textAlignment w:val="baseline"/>
        <w:rPr>
          <w:rFonts w:ascii="宋体" w:hAnsi="宋体" w:cs="宋体"/>
          <w:color w:val="auto"/>
          <w:highlight w:val="none"/>
        </w:rPr>
      </w:pPr>
      <w:r>
        <w:rPr>
          <w:rFonts w:hint="eastAsia" w:ascii="宋体" w:hAnsi="宋体" w:cs="宋体"/>
          <w:color w:val="auto"/>
          <w:highlight w:val="none"/>
        </w:rPr>
        <w:t>二、严格依照国家和省、市、县关于招标投标等方面的法律、法规、规章、规范性文件，参加公共资源交易招标投标活动</w:t>
      </w:r>
      <w:r>
        <w:rPr>
          <w:rFonts w:ascii="宋体" w:hAnsi="宋体" w:cs="宋体"/>
          <w:color w:val="auto"/>
          <w:highlight w:val="none"/>
        </w:rPr>
        <w:t>;</w:t>
      </w:r>
      <w:r>
        <w:rPr>
          <w:rFonts w:hint="eastAsia" w:ascii="宋体" w:hAnsi="宋体" w:cs="宋体"/>
          <w:color w:val="auto"/>
          <w:highlight w:val="none"/>
        </w:rPr>
        <w:t>积极履行社会责任，促进廉政建设</w:t>
      </w:r>
      <w:r>
        <w:rPr>
          <w:rFonts w:ascii="宋体" w:hAnsi="宋体" w:cs="宋体"/>
          <w:color w:val="auto"/>
          <w:highlight w:val="none"/>
        </w:rPr>
        <w:t>;</w:t>
      </w:r>
    </w:p>
    <w:p w14:paraId="7FCAE2D7">
      <w:pPr>
        <w:adjustRightInd w:val="0"/>
        <w:spacing w:line="500" w:lineRule="exact"/>
        <w:ind w:left="-2" w:right="120"/>
        <w:textAlignment w:val="baseline"/>
        <w:rPr>
          <w:rFonts w:ascii="宋体" w:hAnsi="宋体" w:cs="宋体"/>
          <w:color w:val="auto"/>
          <w:highlight w:val="none"/>
        </w:rPr>
      </w:pPr>
      <w:r>
        <w:rPr>
          <w:rFonts w:hint="eastAsia" w:ascii="宋体" w:hAnsi="宋体" w:cs="宋体"/>
          <w:color w:val="auto"/>
          <w:highlight w:val="none"/>
        </w:rPr>
        <w:t>三、严格遵守即时信息公示规定，及时更新公共资源交易中心主体信息库中信息</w:t>
      </w:r>
      <w:r>
        <w:rPr>
          <w:rFonts w:ascii="宋体" w:hAnsi="宋体" w:cs="宋体"/>
          <w:color w:val="auto"/>
          <w:highlight w:val="none"/>
        </w:rPr>
        <w:t>;</w:t>
      </w:r>
    </w:p>
    <w:p w14:paraId="256D5B9A">
      <w:pPr>
        <w:adjustRightInd w:val="0"/>
        <w:spacing w:line="500" w:lineRule="exact"/>
        <w:ind w:left="-2" w:right="120"/>
        <w:textAlignment w:val="baseline"/>
        <w:rPr>
          <w:rFonts w:ascii="宋体" w:hAnsi="宋体" w:cs="宋体"/>
          <w:color w:val="auto"/>
          <w:highlight w:val="none"/>
        </w:rPr>
      </w:pPr>
      <w:r>
        <w:rPr>
          <w:rFonts w:hint="eastAsia" w:ascii="宋体" w:hAnsi="宋体" w:cs="宋体"/>
          <w:color w:val="auto"/>
          <w:highlight w:val="none"/>
        </w:rPr>
        <w:t>四、自我约束、自我管理，守合同、重信用，不参与围标串标、弄虚作假、骗取中标、干扰评标、违约毁约、恶意投诉等行为，主动维护公共资源交易招标投标的良好秩序</w:t>
      </w:r>
      <w:r>
        <w:rPr>
          <w:rFonts w:ascii="宋体" w:hAnsi="宋体" w:cs="宋体"/>
          <w:color w:val="auto"/>
          <w:highlight w:val="none"/>
        </w:rPr>
        <w:t>;</w:t>
      </w:r>
    </w:p>
    <w:p w14:paraId="6F5FE268">
      <w:pPr>
        <w:adjustRightInd w:val="0"/>
        <w:spacing w:line="500" w:lineRule="exact"/>
        <w:ind w:left="-2" w:right="120"/>
        <w:textAlignment w:val="baseline"/>
        <w:rPr>
          <w:rFonts w:ascii="宋体" w:hAnsi="宋体" w:cs="宋体"/>
          <w:color w:val="auto"/>
          <w:highlight w:val="none"/>
        </w:rPr>
      </w:pPr>
      <w:r>
        <w:rPr>
          <w:rFonts w:hint="eastAsia" w:ascii="宋体" w:hAnsi="宋体" w:cs="宋体"/>
          <w:color w:val="auto"/>
          <w:highlight w:val="none"/>
        </w:rPr>
        <w:t>五、本单位自愿接受招标投标有关行政监督部门的依法检查。如发生违法违规或不良行为或存在其他法律法规对招标投标行为予以限制的情形，自愿接受招标投标有关行政监督部门依法给予的行政处罚</w:t>
      </w:r>
      <w:r>
        <w:rPr>
          <w:rFonts w:ascii="宋体" w:hAnsi="宋体" w:cs="宋体"/>
          <w:color w:val="auto"/>
          <w:highlight w:val="none"/>
        </w:rPr>
        <w:t>(</w:t>
      </w:r>
      <w:r>
        <w:rPr>
          <w:rFonts w:hint="eastAsia" w:ascii="宋体" w:hAnsi="宋体" w:cs="宋体"/>
          <w:color w:val="auto"/>
          <w:highlight w:val="none"/>
        </w:rPr>
        <w:t>处理</w:t>
      </w:r>
      <w:r>
        <w:rPr>
          <w:rFonts w:ascii="宋体" w:hAnsi="宋体" w:cs="宋体"/>
          <w:color w:val="auto"/>
          <w:highlight w:val="none"/>
        </w:rPr>
        <w:t>)</w:t>
      </w:r>
      <w:r>
        <w:rPr>
          <w:rFonts w:hint="eastAsia" w:ascii="宋体" w:hAnsi="宋体" w:cs="宋体"/>
          <w:color w:val="auto"/>
          <w:highlight w:val="none"/>
        </w:rPr>
        <w:t>，并依法承担相应的法律责任</w:t>
      </w:r>
      <w:r>
        <w:rPr>
          <w:rFonts w:ascii="宋体" w:hAnsi="宋体" w:cs="宋体"/>
          <w:color w:val="auto"/>
          <w:highlight w:val="none"/>
        </w:rPr>
        <w:t>;</w:t>
      </w:r>
    </w:p>
    <w:p w14:paraId="4C7DAA37">
      <w:pPr>
        <w:adjustRightInd w:val="0"/>
        <w:spacing w:line="500" w:lineRule="exact"/>
        <w:ind w:left="-2" w:right="120"/>
        <w:textAlignment w:val="baseline"/>
        <w:rPr>
          <w:rFonts w:ascii="宋体" w:hAnsi="宋体" w:cs="宋体"/>
          <w:color w:val="auto"/>
          <w:highlight w:val="none"/>
        </w:rPr>
      </w:pPr>
      <w:r>
        <w:rPr>
          <w:rFonts w:hint="eastAsia" w:ascii="宋体" w:hAnsi="宋体" w:cs="宋体"/>
          <w:color w:val="auto"/>
          <w:highlight w:val="none"/>
        </w:rPr>
        <w:t>六、自觉接受政府部门、行业组织、社会公众、新闻舆论等监督</w:t>
      </w:r>
      <w:r>
        <w:rPr>
          <w:rFonts w:ascii="宋体" w:hAnsi="宋体" w:cs="宋体"/>
          <w:color w:val="auto"/>
          <w:highlight w:val="none"/>
        </w:rPr>
        <w:t>;</w:t>
      </w:r>
    </w:p>
    <w:p w14:paraId="0BF7D255">
      <w:pPr>
        <w:adjustRightInd w:val="0"/>
        <w:spacing w:line="500" w:lineRule="exact"/>
        <w:ind w:left="-2" w:right="120"/>
        <w:textAlignment w:val="baseline"/>
        <w:rPr>
          <w:rFonts w:ascii="宋体" w:hAnsi="宋体" w:cs="宋体"/>
          <w:color w:val="auto"/>
          <w:highlight w:val="none"/>
        </w:rPr>
      </w:pPr>
      <w:r>
        <w:rPr>
          <w:rFonts w:hint="eastAsia" w:ascii="宋体" w:hAnsi="宋体" w:cs="宋体"/>
          <w:color w:val="auto"/>
          <w:highlight w:val="none"/>
        </w:rPr>
        <w:t>七、上述承诺已向本单位员工作了宣传教育</w:t>
      </w:r>
      <w:r>
        <w:rPr>
          <w:rFonts w:ascii="宋体" w:hAnsi="宋体" w:cs="宋体"/>
          <w:color w:val="auto"/>
          <w:highlight w:val="none"/>
        </w:rPr>
        <w:t>;</w:t>
      </w:r>
    </w:p>
    <w:p w14:paraId="3D4CABE5">
      <w:pPr>
        <w:adjustRightInd w:val="0"/>
        <w:spacing w:line="500" w:lineRule="exact"/>
        <w:ind w:left="-2" w:right="120"/>
        <w:textAlignment w:val="baseline"/>
        <w:rPr>
          <w:rFonts w:ascii="宋体" w:hAnsi="宋体" w:cs="宋体"/>
          <w:color w:val="auto"/>
          <w:highlight w:val="none"/>
        </w:rPr>
      </w:pPr>
      <w:r>
        <w:rPr>
          <w:rFonts w:hint="eastAsia" w:ascii="宋体" w:hAnsi="宋体" w:cs="宋体"/>
          <w:color w:val="auto"/>
          <w:highlight w:val="none"/>
        </w:rPr>
        <w:t>本单位同意将以上承诺事项上网公示。</w:t>
      </w:r>
    </w:p>
    <w:p w14:paraId="416B3FB1">
      <w:pPr>
        <w:adjustRightInd w:val="0"/>
        <w:spacing w:line="500" w:lineRule="exact"/>
        <w:ind w:right="120"/>
        <w:textAlignment w:val="baseline"/>
        <w:rPr>
          <w:rFonts w:ascii="宋体" w:hAnsi="宋体" w:cs="宋体"/>
          <w:color w:val="auto"/>
          <w:highlight w:val="none"/>
        </w:rPr>
      </w:pPr>
    </w:p>
    <w:p w14:paraId="4A77386D">
      <w:pPr>
        <w:adjustRightInd w:val="0"/>
        <w:spacing w:line="500" w:lineRule="exact"/>
        <w:ind w:left="-2" w:right="120"/>
        <w:textAlignment w:val="baseline"/>
        <w:rPr>
          <w:rFonts w:ascii="宋体" w:hAnsi="宋体" w:cs="宋体"/>
          <w:color w:val="auto"/>
          <w:highlight w:val="none"/>
        </w:rPr>
      </w:pPr>
      <w:r>
        <w:rPr>
          <w:rFonts w:hint="eastAsia" w:ascii="宋体" w:hAnsi="宋体" w:cs="宋体"/>
          <w:color w:val="auto"/>
          <w:highlight w:val="none"/>
        </w:rPr>
        <w:t>投标人全称（加盖公章）：</w:t>
      </w:r>
    </w:p>
    <w:p w14:paraId="5ABC803E">
      <w:pPr>
        <w:spacing w:line="500" w:lineRule="exact"/>
        <w:rPr>
          <w:rFonts w:ascii="宋体" w:hAnsi="宋体" w:cs="宋体"/>
          <w:color w:val="auto"/>
          <w:highlight w:val="none"/>
        </w:rPr>
      </w:pPr>
      <w:r>
        <w:rPr>
          <w:rFonts w:hint="eastAsia" w:ascii="宋体" w:hAnsi="宋体" w:cs="宋体"/>
          <w:color w:val="auto"/>
          <w:highlight w:val="none"/>
        </w:rPr>
        <w:t>法定代表人（签字或盖章）：</w:t>
      </w:r>
    </w:p>
    <w:p w14:paraId="0C90B1C7">
      <w:pPr>
        <w:spacing w:line="500" w:lineRule="exact"/>
        <w:jc w:val="center"/>
        <w:rPr>
          <w:rFonts w:ascii="宋体" w:hAnsi="宋体" w:cs="宋体"/>
          <w:color w:val="auto"/>
          <w:highlight w:val="none"/>
        </w:rPr>
      </w:pPr>
      <w:r>
        <w:rPr>
          <w:rFonts w:hint="eastAsia" w:ascii="宋体" w:hAnsi="宋体" w:cs="宋体"/>
          <w:color w:val="auto"/>
          <w:highlight w:val="none"/>
        </w:rPr>
        <w:t xml:space="preserve">                             时间</w:t>
      </w:r>
      <w:r>
        <w:rPr>
          <w:rFonts w:ascii="宋体" w:hAnsi="宋体" w:cs="宋体"/>
          <w:color w:val="auto"/>
          <w:highlight w:val="none"/>
        </w:rPr>
        <w:t xml:space="preserve">:   </w:t>
      </w: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月</w:t>
      </w:r>
      <w:r>
        <w:rPr>
          <w:rFonts w:ascii="宋体" w:hAnsi="宋体" w:cs="宋体"/>
          <w:color w:val="auto"/>
          <w:highlight w:val="none"/>
        </w:rPr>
        <w:t xml:space="preserve">   </w:t>
      </w:r>
      <w:r>
        <w:rPr>
          <w:rFonts w:hint="eastAsia" w:ascii="宋体" w:hAnsi="宋体" w:cs="宋体"/>
          <w:color w:val="auto"/>
          <w:highlight w:val="none"/>
        </w:rPr>
        <w:t>日</w:t>
      </w:r>
    </w:p>
    <w:p w14:paraId="2600DE4F">
      <w:pPr>
        <w:pStyle w:val="44"/>
        <w:rPr>
          <w:color w:val="auto"/>
          <w:highlight w:val="none"/>
        </w:rPr>
      </w:pPr>
    </w:p>
    <w:p w14:paraId="0A5D4D53">
      <w:pPr>
        <w:pStyle w:val="44"/>
        <w:rPr>
          <w:color w:val="auto"/>
          <w:highlight w:val="none"/>
        </w:rPr>
      </w:pPr>
    </w:p>
    <w:p w14:paraId="6282C2D9">
      <w:pPr>
        <w:ind w:firstLine="0" w:firstLineChars="0"/>
        <w:rPr>
          <w:rFonts w:hint="eastAsia" w:ascii="宋体" w:hAnsi="宋体" w:cs="宋体"/>
          <w:b/>
          <w:bCs/>
          <w:color w:val="auto"/>
          <w:sz w:val="28"/>
          <w:szCs w:val="28"/>
          <w:highlight w:val="none"/>
        </w:rPr>
        <w:sectPr>
          <w:pgSz w:w="11906" w:h="16838"/>
          <w:pgMar w:top="1134" w:right="1134" w:bottom="1134" w:left="1576" w:header="737" w:footer="567" w:gutter="0"/>
          <w:pgNumType w:fmt="numberInDash"/>
          <w:cols w:space="720" w:num="1"/>
          <w:titlePg/>
          <w:docGrid w:type="lines" w:linePitch="310" w:charSpace="0"/>
        </w:sectPr>
      </w:pPr>
    </w:p>
    <w:p w14:paraId="386C2DB6">
      <w:pPr>
        <w:ind w:firstLine="0" w:firstLineChars="0"/>
        <w:rPr>
          <w:rFonts w:hint="eastAsia" w:ascii="宋体" w:hAnsi="宋体" w:eastAsia="宋体" w:cs="宋体"/>
          <w:b/>
          <w:bCs/>
          <w:color w:val="auto"/>
          <w:sz w:val="32"/>
          <w:szCs w:val="32"/>
          <w:highlight w:val="none"/>
          <w:lang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五</w:t>
      </w:r>
    </w:p>
    <w:p w14:paraId="292280AD">
      <w:pPr>
        <w:pStyle w:val="3"/>
        <w:keepNext w:val="0"/>
        <w:keepLines w:val="0"/>
        <w:jc w:val="center"/>
        <w:rPr>
          <w:rFonts w:ascii="宋体" w:hAnsi="宋体" w:cs="宋体"/>
          <w:color w:val="auto"/>
          <w:highlight w:val="none"/>
        </w:rPr>
      </w:pPr>
      <w:r>
        <w:rPr>
          <w:rFonts w:hint="eastAsia" w:ascii="宋体" w:hAnsi="宋体" w:cs="宋体"/>
          <w:color w:val="auto"/>
          <w:highlight w:val="none"/>
        </w:rPr>
        <w:t>商务条款响应及偏离表</w:t>
      </w:r>
    </w:p>
    <w:p w14:paraId="2BAF335B">
      <w:pPr>
        <w:rPr>
          <w:rFonts w:ascii="宋体" w:hAnsi="宋体" w:cs="宋体"/>
          <w:color w:val="auto"/>
          <w:highlight w:val="none"/>
        </w:rPr>
      </w:pPr>
    </w:p>
    <w:tbl>
      <w:tblPr>
        <w:tblStyle w:val="50"/>
        <w:tblW w:w="98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1"/>
        <w:gridCol w:w="2419"/>
        <w:gridCol w:w="2688"/>
        <w:gridCol w:w="2778"/>
      </w:tblGrid>
      <w:tr w14:paraId="6EF5D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1991" w:type="dxa"/>
            <w:tcBorders>
              <w:top w:val="single" w:color="auto" w:sz="4" w:space="0"/>
              <w:bottom w:val="single" w:color="auto" w:sz="4" w:space="0"/>
              <w:right w:val="single" w:color="auto" w:sz="4" w:space="0"/>
            </w:tcBorders>
            <w:vAlign w:val="center"/>
          </w:tcPr>
          <w:p w14:paraId="13FC4546">
            <w:pPr>
              <w:ind w:firstLine="482"/>
              <w:rPr>
                <w:rFonts w:ascii="宋体" w:hAnsi="宋体" w:cs="宋体"/>
                <w:color w:val="auto"/>
                <w:highlight w:val="none"/>
              </w:rPr>
            </w:pPr>
            <w:r>
              <w:rPr>
                <w:rFonts w:hint="eastAsia" w:ascii="宋体" w:hAnsi="宋体" w:cs="宋体"/>
                <w:b/>
                <w:bCs/>
                <w:color w:val="auto"/>
                <w:highlight w:val="none"/>
              </w:rPr>
              <w:t xml:space="preserve"> </w:t>
            </w:r>
            <w:r>
              <w:rPr>
                <w:rFonts w:hint="eastAsia" w:ascii="宋体" w:hAnsi="宋体" w:cs="宋体"/>
                <w:color w:val="auto"/>
                <w:highlight w:val="none"/>
              </w:rPr>
              <w:t>　　　　项目</w:t>
            </w:r>
          </w:p>
        </w:tc>
        <w:tc>
          <w:tcPr>
            <w:tcW w:w="2419" w:type="dxa"/>
            <w:tcBorders>
              <w:top w:val="single" w:color="auto" w:sz="4" w:space="0"/>
              <w:left w:val="single" w:color="auto" w:sz="4" w:space="0"/>
              <w:bottom w:val="single" w:color="auto" w:sz="4" w:space="0"/>
              <w:right w:val="single" w:color="auto" w:sz="4" w:space="0"/>
            </w:tcBorders>
            <w:vAlign w:val="center"/>
          </w:tcPr>
          <w:p w14:paraId="4FFA48CC">
            <w:pPr>
              <w:ind w:firstLine="0" w:firstLineChars="0"/>
              <w:rPr>
                <w:rFonts w:ascii="宋体" w:hAnsi="宋体" w:cs="宋体"/>
                <w:color w:val="auto"/>
                <w:highlight w:val="none"/>
              </w:rPr>
            </w:pPr>
            <w:r>
              <w:rPr>
                <w:rFonts w:hint="eastAsia" w:ascii="宋体" w:hAnsi="宋体" w:cs="宋体"/>
                <w:color w:val="auto"/>
                <w:highlight w:val="none"/>
              </w:rPr>
              <w:t>采购文件要求</w:t>
            </w:r>
          </w:p>
        </w:tc>
        <w:tc>
          <w:tcPr>
            <w:tcW w:w="2688" w:type="dxa"/>
            <w:tcBorders>
              <w:top w:val="single" w:color="auto" w:sz="4" w:space="0"/>
              <w:left w:val="single" w:color="auto" w:sz="4" w:space="0"/>
              <w:bottom w:val="single" w:color="auto" w:sz="4" w:space="0"/>
              <w:right w:val="single" w:color="auto" w:sz="4" w:space="0"/>
            </w:tcBorders>
            <w:vAlign w:val="center"/>
          </w:tcPr>
          <w:p w14:paraId="4FC7A70E">
            <w:pPr>
              <w:ind w:firstLine="0" w:firstLineChars="0"/>
              <w:rPr>
                <w:rFonts w:ascii="宋体" w:hAnsi="宋体" w:cs="宋体"/>
                <w:color w:val="auto"/>
                <w:highlight w:val="none"/>
              </w:rPr>
            </w:pPr>
            <w:r>
              <w:rPr>
                <w:rFonts w:hint="eastAsia" w:ascii="宋体" w:hAnsi="宋体" w:cs="宋体"/>
                <w:color w:val="auto"/>
                <w:highlight w:val="none"/>
              </w:rPr>
              <w:t>是否响应</w:t>
            </w:r>
          </w:p>
          <w:p w14:paraId="3960A1F9">
            <w:pPr>
              <w:ind w:firstLine="0" w:firstLineChars="0"/>
              <w:rPr>
                <w:rFonts w:ascii="宋体" w:hAnsi="宋体" w:cs="宋体"/>
                <w:color w:val="auto"/>
                <w:highlight w:val="none"/>
              </w:rPr>
            </w:pPr>
            <w:r>
              <w:rPr>
                <w:rFonts w:hint="eastAsia" w:ascii="宋体" w:hAnsi="宋体" w:cs="宋体"/>
                <w:color w:val="auto"/>
                <w:highlight w:val="none"/>
              </w:rPr>
              <w:t>采购文件要求</w:t>
            </w:r>
          </w:p>
        </w:tc>
        <w:tc>
          <w:tcPr>
            <w:tcW w:w="2778" w:type="dxa"/>
            <w:tcBorders>
              <w:top w:val="single" w:color="auto" w:sz="4" w:space="0"/>
              <w:left w:val="single" w:color="auto" w:sz="4" w:space="0"/>
              <w:bottom w:val="single" w:color="auto" w:sz="4" w:space="0"/>
            </w:tcBorders>
            <w:vAlign w:val="center"/>
          </w:tcPr>
          <w:p w14:paraId="4B3297C9">
            <w:pPr>
              <w:ind w:firstLine="0" w:firstLineChars="0"/>
              <w:rPr>
                <w:rFonts w:ascii="宋体" w:hAnsi="宋体" w:cs="宋体"/>
                <w:color w:val="auto"/>
                <w:highlight w:val="none"/>
              </w:rPr>
            </w:pPr>
            <w:r>
              <w:rPr>
                <w:rFonts w:hint="eastAsia" w:ascii="宋体" w:hAnsi="宋体" w:cs="宋体"/>
                <w:color w:val="auto"/>
                <w:highlight w:val="none"/>
              </w:rPr>
              <w:t>投标人的承诺或说明</w:t>
            </w:r>
          </w:p>
        </w:tc>
      </w:tr>
      <w:tr w14:paraId="27005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1991" w:type="dxa"/>
            <w:tcBorders>
              <w:top w:val="single" w:color="auto" w:sz="4" w:space="0"/>
              <w:bottom w:val="single" w:color="auto" w:sz="4" w:space="0"/>
              <w:right w:val="single" w:color="auto" w:sz="4" w:space="0"/>
            </w:tcBorders>
            <w:vAlign w:val="center"/>
          </w:tcPr>
          <w:p w14:paraId="68E1642D">
            <w:pPr>
              <w:ind w:firstLine="0" w:firstLineChars="0"/>
              <w:rPr>
                <w:rFonts w:ascii="宋体" w:hAnsi="宋体" w:cs="宋体"/>
                <w:color w:val="auto"/>
                <w:highlight w:val="none"/>
              </w:rPr>
            </w:pPr>
            <w:r>
              <w:rPr>
                <w:rFonts w:hint="eastAsia" w:ascii="宋体" w:hAnsi="宋体" w:cs="宋体"/>
                <w:color w:val="auto"/>
                <w:highlight w:val="none"/>
              </w:rPr>
              <w:t>服务期限</w:t>
            </w:r>
          </w:p>
        </w:tc>
        <w:tc>
          <w:tcPr>
            <w:tcW w:w="2419" w:type="dxa"/>
            <w:tcBorders>
              <w:top w:val="single" w:color="auto" w:sz="4" w:space="0"/>
              <w:left w:val="single" w:color="auto" w:sz="4" w:space="0"/>
              <w:bottom w:val="single" w:color="auto" w:sz="4" w:space="0"/>
              <w:right w:val="single" w:color="auto" w:sz="4" w:space="0"/>
            </w:tcBorders>
            <w:vAlign w:val="center"/>
          </w:tcPr>
          <w:p w14:paraId="29CD0643">
            <w:pPr>
              <w:ind w:firstLine="0" w:firstLineChars="0"/>
              <w:rPr>
                <w:rFonts w:ascii="宋体" w:hAnsi="宋体" w:cs="宋体"/>
                <w:color w:val="auto"/>
                <w:highlight w:val="none"/>
              </w:rPr>
            </w:pPr>
            <w:r>
              <w:rPr>
                <w:rFonts w:hint="eastAsia" w:ascii="宋体" w:hAnsi="宋体" w:cs="宋体"/>
                <w:color w:val="auto"/>
                <w:highlight w:val="none"/>
              </w:rPr>
              <w:t>详见采购文件</w:t>
            </w:r>
          </w:p>
        </w:tc>
        <w:tc>
          <w:tcPr>
            <w:tcW w:w="2688" w:type="dxa"/>
            <w:tcBorders>
              <w:top w:val="single" w:color="auto" w:sz="4" w:space="0"/>
              <w:left w:val="single" w:color="auto" w:sz="4" w:space="0"/>
              <w:bottom w:val="single" w:color="auto" w:sz="4" w:space="0"/>
              <w:right w:val="single" w:color="auto" w:sz="4" w:space="0"/>
            </w:tcBorders>
          </w:tcPr>
          <w:p w14:paraId="3976121B">
            <w:pPr>
              <w:ind w:firstLine="0" w:firstLineChars="0"/>
              <w:rPr>
                <w:rFonts w:ascii="宋体" w:hAnsi="宋体" w:cs="宋体"/>
                <w:color w:val="auto"/>
                <w:highlight w:val="none"/>
              </w:rPr>
            </w:pPr>
          </w:p>
        </w:tc>
        <w:tc>
          <w:tcPr>
            <w:tcW w:w="2778" w:type="dxa"/>
            <w:tcBorders>
              <w:top w:val="single" w:color="auto" w:sz="4" w:space="0"/>
              <w:left w:val="single" w:color="auto" w:sz="4" w:space="0"/>
              <w:bottom w:val="single" w:color="auto" w:sz="4" w:space="0"/>
            </w:tcBorders>
          </w:tcPr>
          <w:p w14:paraId="01A16084">
            <w:pPr>
              <w:ind w:firstLine="0" w:firstLineChars="0"/>
              <w:rPr>
                <w:rFonts w:ascii="宋体" w:hAnsi="宋体" w:cs="宋体"/>
                <w:color w:val="auto"/>
                <w:highlight w:val="none"/>
              </w:rPr>
            </w:pPr>
          </w:p>
        </w:tc>
      </w:tr>
      <w:tr w14:paraId="6223E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1991" w:type="dxa"/>
            <w:tcBorders>
              <w:top w:val="single" w:color="auto" w:sz="4" w:space="0"/>
              <w:bottom w:val="single" w:color="auto" w:sz="4" w:space="0"/>
              <w:right w:val="single" w:color="auto" w:sz="4" w:space="0"/>
            </w:tcBorders>
            <w:vAlign w:val="center"/>
          </w:tcPr>
          <w:p w14:paraId="340F18BF">
            <w:pPr>
              <w:ind w:firstLine="0" w:firstLineChars="0"/>
              <w:rPr>
                <w:rFonts w:ascii="宋体" w:hAnsi="宋体" w:cs="宋体"/>
                <w:color w:val="auto"/>
                <w:highlight w:val="none"/>
              </w:rPr>
            </w:pPr>
            <w:r>
              <w:rPr>
                <w:rFonts w:hint="eastAsia" w:ascii="宋体" w:hAnsi="宋体" w:cs="宋体"/>
                <w:color w:val="auto"/>
                <w:highlight w:val="none"/>
              </w:rPr>
              <w:t>付款方式</w:t>
            </w:r>
          </w:p>
        </w:tc>
        <w:tc>
          <w:tcPr>
            <w:tcW w:w="2419" w:type="dxa"/>
            <w:tcBorders>
              <w:top w:val="single" w:color="auto" w:sz="4" w:space="0"/>
              <w:left w:val="single" w:color="auto" w:sz="4" w:space="0"/>
              <w:bottom w:val="single" w:color="auto" w:sz="4" w:space="0"/>
              <w:right w:val="single" w:color="auto" w:sz="4" w:space="0"/>
            </w:tcBorders>
            <w:vAlign w:val="center"/>
          </w:tcPr>
          <w:p w14:paraId="42352ADB">
            <w:pPr>
              <w:ind w:firstLine="0" w:firstLineChars="0"/>
              <w:rPr>
                <w:rFonts w:ascii="宋体" w:hAnsi="宋体" w:cs="宋体"/>
                <w:color w:val="auto"/>
                <w:highlight w:val="none"/>
              </w:rPr>
            </w:pPr>
            <w:r>
              <w:rPr>
                <w:rFonts w:hint="eastAsia" w:ascii="宋体" w:hAnsi="宋体" w:cs="宋体"/>
                <w:color w:val="auto"/>
                <w:highlight w:val="none"/>
              </w:rPr>
              <w:t>详见采购文件</w:t>
            </w:r>
          </w:p>
        </w:tc>
        <w:tc>
          <w:tcPr>
            <w:tcW w:w="2688" w:type="dxa"/>
            <w:tcBorders>
              <w:top w:val="single" w:color="auto" w:sz="4" w:space="0"/>
              <w:left w:val="single" w:color="auto" w:sz="4" w:space="0"/>
              <w:bottom w:val="single" w:color="auto" w:sz="4" w:space="0"/>
              <w:right w:val="single" w:color="auto" w:sz="4" w:space="0"/>
            </w:tcBorders>
          </w:tcPr>
          <w:p w14:paraId="0CB9FABD">
            <w:pPr>
              <w:ind w:firstLine="0" w:firstLineChars="0"/>
              <w:rPr>
                <w:rFonts w:ascii="宋体" w:hAnsi="宋体" w:cs="宋体"/>
                <w:color w:val="auto"/>
                <w:highlight w:val="none"/>
              </w:rPr>
            </w:pPr>
          </w:p>
        </w:tc>
        <w:tc>
          <w:tcPr>
            <w:tcW w:w="2778" w:type="dxa"/>
            <w:tcBorders>
              <w:top w:val="single" w:color="auto" w:sz="4" w:space="0"/>
              <w:left w:val="single" w:color="auto" w:sz="4" w:space="0"/>
              <w:bottom w:val="single" w:color="auto" w:sz="4" w:space="0"/>
            </w:tcBorders>
          </w:tcPr>
          <w:p w14:paraId="55D4DCB5">
            <w:pPr>
              <w:ind w:firstLine="0" w:firstLineChars="0"/>
              <w:rPr>
                <w:rFonts w:ascii="宋体" w:hAnsi="宋体" w:cs="宋体"/>
                <w:color w:val="auto"/>
                <w:highlight w:val="none"/>
              </w:rPr>
            </w:pPr>
          </w:p>
        </w:tc>
      </w:tr>
      <w:tr w14:paraId="03338A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1991" w:type="dxa"/>
            <w:tcBorders>
              <w:top w:val="single" w:color="auto" w:sz="4" w:space="0"/>
              <w:bottom w:val="single" w:color="auto" w:sz="4" w:space="0"/>
              <w:right w:val="single" w:color="auto" w:sz="4" w:space="0"/>
            </w:tcBorders>
            <w:vAlign w:val="center"/>
          </w:tcPr>
          <w:p w14:paraId="4F01EB15">
            <w:pPr>
              <w:ind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履约保证金</w:t>
            </w:r>
          </w:p>
        </w:tc>
        <w:tc>
          <w:tcPr>
            <w:tcW w:w="2419" w:type="dxa"/>
            <w:tcBorders>
              <w:top w:val="single" w:color="auto" w:sz="4" w:space="0"/>
              <w:left w:val="single" w:color="auto" w:sz="4" w:space="0"/>
              <w:bottom w:val="single" w:color="auto" w:sz="4" w:space="0"/>
              <w:right w:val="single" w:color="auto" w:sz="4" w:space="0"/>
            </w:tcBorders>
            <w:vAlign w:val="center"/>
          </w:tcPr>
          <w:p w14:paraId="54E1FD85">
            <w:pPr>
              <w:ind w:firstLine="0" w:firstLineChars="0"/>
              <w:rPr>
                <w:rFonts w:hint="eastAsia" w:ascii="宋体" w:hAnsi="宋体" w:cs="宋体"/>
                <w:color w:val="auto"/>
                <w:highlight w:val="none"/>
              </w:rPr>
            </w:pPr>
            <w:r>
              <w:rPr>
                <w:rFonts w:hint="eastAsia" w:ascii="宋体" w:hAnsi="宋体" w:cs="宋体"/>
                <w:color w:val="auto"/>
                <w:highlight w:val="none"/>
              </w:rPr>
              <w:t>详见采购文件</w:t>
            </w:r>
          </w:p>
        </w:tc>
        <w:tc>
          <w:tcPr>
            <w:tcW w:w="2688" w:type="dxa"/>
            <w:tcBorders>
              <w:top w:val="single" w:color="auto" w:sz="4" w:space="0"/>
              <w:left w:val="single" w:color="auto" w:sz="4" w:space="0"/>
              <w:bottom w:val="single" w:color="auto" w:sz="4" w:space="0"/>
              <w:right w:val="single" w:color="auto" w:sz="4" w:space="0"/>
            </w:tcBorders>
          </w:tcPr>
          <w:p w14:paraId="7FDA9792">
            <w:pPr>
              <w:ind w:firstLine="0" w:firstLineChars="0"/>
              <w:rPr>
                <w:rFonts w:ascii="宋体" w:hAnsi="宋体" w:cs="宋体"/>
                <w:color w:val="auto"/>
                <w:highlight w:val="none"/>
              </w:rPr>
            </w:pPr>
          </w:p>
        </w:tc>
        <w:tc>
          <w:tcPr>
            <w:tcW w:w="2778" w:type="dxa"/>
            <w:tcBorders>
              <w:top w:val="single" w:color="auto" w:sz="4" w:space="0"/>
              <w:left w:val="single" w:color="auto" w:sz="4" w:space="0"/>
              <w:bottom w:val="single" w:color="auto" w:sz="4" w:space="0"/>
            </w:tcBorders>
          </w:tcPr>
          <w:p w14:paraId="70CE6A86">
            <w:pPr>
              <w:ind w:firstLine="0" w:firstLineChars="0"/>
              <w:rPr>
                <w:rFonts w:ascii="宋体" w:hAnsi="宋体" w:cs="宋体"/>
                <w:color w:val="auto"/>
                <w:highlight w:val="none"/>
              </w:rPr>
            </w:pPr>
          </w:p>
        </w:tc>
      </w:tr>
      <w:tr w14:paraId="7F595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1991" w:type="dxa"/>
            <w:tcBorders>
              <w:top w:val="single" w:color="auto" w:sz="4" w:space="0"/>
              <w:bottom w:val="single" w:color="auto" w:sz="4" w:space="0"/>
              <w:right w:val="single" w:color="auto" w:sz="4" w:space="0"/>
            </w:tcBorders>
            <w:vAlign w:val="center"/>
          </w:tcPr>
          <w:p w14:paraId="156852B0">
            <w:pPr>
              <w:ind w:firstLine="0" w:firstLineChars="0"/>
              <w:rPr>
                <w:rFonts w:ascii="宋体" w:hAnsi="宋体" w:cs="宋体"/>
                <w:color w:val="auto"/>
                <w:highlight w:val="none"/>
              </w:rPr>
            </w:pPr>
            <w:r>
              <w:rPr>
                <w:rFonts w:hint="eastAsia" w:ascii="宋体" w:hAnsi="宋体" w:cs="宋体"/>
                <w:color w:val="auto"/>
                <w:highlight w:val="none"/>
              </w:rPr>
              <w:t>其他要求</w:t>
            </w:r>
          </w:p>
        </w:tc>
        <w:tc>
          <w:tcPr>
            <w:tcW w:w="2419" w:type="dxa"/>
            <w:tcBorders>
              <w:top w:val="single" w:color="auto" w:sz="4" w:space="0"/>
              <w:left w:val="single" w:color="auto" w:sz="4" w:space="0"/>
              <w:bottom w:val="single" w:color="auto" w:sz="4" w:space="0"/>
              <w:right w:val="single" w:color="auto" w:sz="4" w:space="0"/>
            </w:tcBorders>
            <w:vAlign w:val="center"/>
          </w:tcPr>
          <w:p w14:paraId="5E38E8A7">
            <w:pPr>
              <w:ind w:firstLine="0" w:firstLineChars="0"/>
              <w:rPr>
                <w:rFonts w:ascii="宋体" w:hAnsi="宋体" w:cs="宋体"/>
                <w:color w:val="auto"/>
                <w:highlight w:val="none"/>
              </w:rPr>
            </w:pPr>
            <w:r>
              <w:rPr>
                <w:rFonts w:hint="eastAsia" w:ascii="宋体" w:hAnsi="宋体" w:cs="宋体"/>
                <w:color w:val="auto"/>
                <w:highlight w:val="none"/>
              </w:rPr>
              <w:t>详见采购文件</w:t>
            </w:r>
          </w:p>
        </w:tc>
        <w:tc>
          <w:tcPr>
            <w:tcW w:w="2688" w:type="dxa"/>
            <w:tcBorders>
              <w:top w:val="single" w:color="auto" w:sz="4" w:space="0"/>
              <w:left w:val="single" w:color="auto" w:sz="4" w:space="0"/>
              <w:bottom w:val="single" w:color="auto" w:sz="4" w:space="0"/>
              <w:right w:val="single" w:color="auto" w:sz="4" w:space="0"/>
            </w:tcBorders>
          </w:tcPr>
          <w:p w14:paraId="484229C8">
            <w:pPr>
              <w:ind w:firstLine="0" w:firstLineChars="0"/>
              <w:rPr>
                <w:rFonts w:ascii="宋体" w:hAnsi="宋体" w:cs="宋体"/>
                <w:color w:val="auto"/>
                <w:highlight w:val="none"/>
              </w:rPr>
            </w:pPr>
          </w:p>
        </w:tc>
        <w:tc>
          <w:tcPr>
            <w:tcW w:w="2778" w:type="dxa"/>
            <w:tcBorders>
              <w:top w:val="single" w:color="auto" w:sz="4" w:space="0"/>
              <w:left w:val="single" w:color="auto" w:sz="4" w:space="0"/>
              <w:bottom w:val="single" w:color="auto" w:sz="4" w:space="0"/>
            </w:tcBorders>
          </w:tcPr>
          <w:p w14:paraId="2D49B2B4">
            <w:pPr>
              <w:ind w:firstLine="0" w:firstLineChars="0"/>
              <w:rPr>
                <w:rFonts w:ascii="宋体" w:hAnsi="宋体" w:cs="宋体"/>
                <w:color w:val="auto"/>
                <w:highlight w:val="none"/>
              </w:rPr>
            </w:pPr>
          </w:p>
        </w:tc>
      </w:tr>
      <w:tr w14:paraId="29D20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991" w:type="dxa"/>
            <w:tcBorders>
              <w:top w:val="single" w:color="auto" w:sz="4" w:space="0"/>
              <w:bottom w:val="single" w:color="auto" w:sz="4" w:space="0"/>
              <w:right w:val="single" w:color="auto" w:sz="4" w:space="0"/>
            </w:tcBorders>
            <w:vAlign w:val="center"/>
          </w:tcPr>
          <w:p w14:paraId="2254E997">
            <w:pPr>
              <w:ind w:firstLine="0" w:firstLineChars="0"/>
              <w:rPr>
                <w:rFonts w:ascii="宋体" w:hAnsi="宋体" w:cs="宋体"/>
                <w:color w:val="auto"/>
                <w:highlight w:val="none"/>
              </w:rPr>
            </w:pPr>
            <w:r>
              <w:rPr>
                <w:rFonts w:hint="eastAsia" w:ascii="宋体" w:hAnsi="宋体" w:cs="宋体"/>
                <w:color w:val="auto"/>
                <w:highlight w:val="none"/>
              </w:rPr>
              <w:t>备注</w:t>
            </w:r>
          </w:p>
        </w:tc>
        <w:tc>
          <w:tcPr>
            <w:tcW w:w="2419" w:type="dxa"/>
            <w:tcBorders>
              <w:top w:val="single" w:color="auto" w:sz="4" w:space="0"/>
              <w:left w:val="single" w:color="auto" w:sz="4" w:space="0"/>
              <w:bottom w:val="single" w:color="auto" w:sz="4" w:space="0"/>
              <w:right w:val="single" w:color="auto" w:sz="4" w:space="0"/>
            </w:tcBorders>
          </w:tcPr>
          <w:p w14:paraId="2E91FC2E">
            <w:pPr>
              <w:ind w:firstLine="0" w:firstLineChars="0"/>
              <w:rPr>
                <w:rFonts w:ascii="宋体" w:hAnsi="宋体" w:cs="宋体"/>
                <w:color w:val="auto"/>
                <w:highlight w:val="none"/>
              </w:rPr>
            </w:pPr>
          </w:p>
          <w:p w14:paraId="31843EA3">
            <w:pPr>
              <w:ind w:firstLine="0" w:firstLineChars="0"/>
              <w:rPr>
                <w:rFonts w:ascii="宋体" w:hAnsi="宋体" w:cs="宋体"/>
                <w:color w:val="auto"/>
                <w:highlight w:val="none"/>
              </w:rPr>
            </w:pPr>
          </w:p>
        </w:tc>
        <w:tc>
          <w:tcPr>
            <w:tcW w:w="2688" w:type="dxa"/>
            <w:tcBorders>
              <w:top w:val="single" w:color="auto" w:sz="4" w:space="0"/>
              <w:left w:val="single" w:color="auto" w:sz="4" w:space="0"/>
              <w:bottom w:val="single" w:color="auto" w:sz="4" w:space="0"/>
              <w:right w:val="single" w:color="auto" w:sz="4" w:space="0"/>
            </w:tcBorders>
          </w:tcPr>
          <w:p w14:paraId="3963C975">
            <w:pPr>
              <w:ind w:firstLine="0" w:firstLineChars="0"/>
              <w:rPr>
                <w:rFonts w:ascii="宋体" w:hAnsi="宋体" w:cs="宋体"/>
                <w:color w:val="auto"/>
                <w:highlight w:val="none"/>
              </w:rPr>
            </w:pPr>
          </w:p>
        </w:tc>
        <w:tc>
          <w:tcPr>
            <w:tcW w:w="2778" w:type="dxa"/>
            <w:tcBorders>
              <w:top w:val="single" w:color="auto" w:sz="4" w:space="0"/>
              <w:left w:val="single" w:color="auto" w:sz="4" w:space="0"/>
              <w:bottom w:val="single" w:color="auto" w:sz="4" w:space="0"/>
            </w:tcBorders>
          </w:tcPr>
          <w:p w14:paraId="443469F7">
            <w:pPr>
              <w:ind w:firstLine="0" w:firstLineChars="0"/>
              <w:rPr>
                <w:rFonts w:ascii="宋体" w:hAnsi="宋体" w:cs="宋体"/>
                <w:color w:val="auto"/>
                <w:highlight w:val="none"/>
              </w:rPr>
            </w:pPr>
          </w:p>
        </w:tc>
      </w:tr>
    </w:tbl>
    <w:p w14:paraId="798E2323">
      <w:pPr>
        <w:rPr>
          <w:rFonts w:ascii="宋体" w:hAnsi="宋体" w:cs="宋体"/>
          <w:color w:val="auto"/>
          <w:highlight w:val="none"/>
        </w:rPr>
      </w:pPr>
      <w:r>
        <w:rPr>
          <w:rFonts w:hint="eastAsia" w:ascii="宋体" w:hAnsi="宋体" w:cs="宋体"/>
          <w:color w:val="auto"/>
          <w:highlight w:val="none"/>
        </w:rPr>
        <w:t>行数不够可自行添加。如各项商务条款已在投标方案中详细说明，则该表只需填写是否响应。不响应采购文件要求的，评标委员会有权作无效投标处理。未在投标文件中单独说明的，投标人可在此表中承诺或说明。</w:t>
      </w:r>
    </w:p>
    <w:p w14:paraId="5CE6F76A">
      <w:pPr>
        <w:rPr>
          <w:rFonts w:ascii="宋体" w:hAnsi="宋体" w:cs="宋体"/>
          <w:color w:val="auto"/>
          <w:highlight w:val="none"/>
        </w:rPr>
      </w:pPr>
    </w:p>
    <w:p w14:paraId="23AE8789">
      <w:pPr>
        <w:adjustRightInd w:val="0"/>
        <w:snapToGrid w:val="0"/>
        <w:ind w:firstLine="840" w:firstLineChars="300"/>
        <w:rPr>
          <w:rFonts w:ascii="宋体" w:hAnsi="宋体" w:cs="宋体"/>
          <w:color w:val="auto"/>
          <w:highlight w:val="none"/>
        </w:rPr>
      </w:pPr>
      <w:r>
        <w:rPr>
          <w:rFonts w:hint="eastAsia" w:ascii="宋体" w:hAnsi="宋体" w:cs="宋体"/>
          <w:color w:val="auto"/>
          <w:sz w:val="28"/>
          <w:szCs w:val="28"/>
          <w:highlight w:val="none"/>
        </w:rPr>
        <w:t xml:space="preserve"> </w:t>
      </w:r>
      <w:r>
        <w:rPr>
          <w:rFonts w:hint="eastAsia" w:ascii="宋体" w:hAnsi="宋体" w:cs="宋体"/>
          <w:color w:val="auto"/>
          <w:highlight w:val="none"/>
        </w:rPr>
        <w:t xml:space="preserve">投标人全称（盖单位公章）：  </w:t>
      </w:r>
    </w:p>
    <w:p w14:paraId="79924711">
      <w:pPr>
        <w:adjustRightInd w:val="0"/>
        <w:snapToGrid w:val="0"/>
        <w:rPr>
          <w:rFonts w:ascii="宋体" w:hAnsi="宋体" w:cs="宋体"/>
          <w:color w:val="auto"/>
          <w:highlight w:val="none"/>
        </w:rPr>
      </w:pPr>
      <w:r>
        <w:rPr>
          <w:rFonts w:hint="eastAsia" w:ascii="宋体" w:hAnsi="宋体" w:cs="宋体"/>
          <w:color w:val="auto"/>
          <w:highlight w:val="none"/>
        </w:rPr>
        <w:t xml:space="preserve">    法定代表人或其授权委托人（签字或盖章）：</w:t>
      </w:r>
    </w:p>
    <w:p w14:paraId="7BBD4F22">
      <w:pPr>
        <w:rPr>
          <w:rFonts w:ascii="宋体" w:hAnsi="宋体" w:cs="宋体"/>
          <w:color w:val="auto"/>
          <w:highlight w:val="none"/>
        </w:rPr>
      </w:pPr>
    </w:p>
    <w:p w14:paraId="2891C436">
      <w:pPr>
        <w:rPr>
          <w:rFonts w:ascii="宋体" w:hAnsi="宋体" w:cs="宋体"/>
          <w:color w:val="auto"/>
          <w:highlight w:val="none"/>
        </w:rPr>
      </w:pPr>
      <w:r>
        <w:rPr>
          <w:rFonts w:hint="eastAsia" w:ascii="宋体" w:hAnsi="宋体" w:cs="宋体"/>
          <w:color w:val="auto"/>
          <w:highlight w:val="none"/>
        </w:rPr>
        <w:t>日期： 年  月  日</w:t>
      </w:r>
    </w:p>
    <w:p w14:paraId="7B212501">
      <w:pPr>
        <w:rPr>
          <w:rFonts w:ascii="宋体" w:hAnsi="宋体" w:cs="宋体"/>
          <w:color w:val="auto"/>
          <w:highlight w:val="none"/>
        </w:rPr>
      </w:pPr>
    </w:p>
    <w:p w14:paraId="2126DB65">
      <w:pPr>
        <w:ind w:left="0" w:leftChars="0" w:firstLine="0" w:firstLineChars="0"/>
        <w:rPr>
          <w:rFonts w:ascii="宋体" w:hAnsi="宋体" w:cs="宋体"/>
          <w:color w:val="auto"/>
          <w:highlight w:val="none"/>
        </w:rPr>
      </w:pPr>
    </w:p>
    <w:p w14:paraId="6F07437B">
      <w:pPr>
        <w:ind w:firstLine="0" w:firstLineChars="0"/>
        <w:rPr>
          <w:rFonts w:hint="eastAsia" w:ascii="宋体" w:hAnsi="宋体" w:eastAsia="宋体" w:cs="宋体"/>
          <w:b/>
          <w:bCs/>
          <w:color w:val="auto"/>
          <w:sz w:val="28"/>
          <w:szCs w:val="28"/>
          <w:highlight w:val="none"/>
          <w:lang w:val="en-US" w:eastAsia="zh-CN"/>
        </w:rPr>
        <w:sectPr>
          <w:pgSz w:w="11906" w:h="16838"/>
          <w:pgMar w:top="1134" w:right="1134" w:bottom="1134" w:left="1576" w:header="737" w:footer="567" w:gutter="0"/>
          <w:pgNumType w:fmt="numberInDash"/>
          <w:cols w:space="720" w:num="1"/>
          <w:titlePg/>
          <w:docGrid w:type="lines" w:linePitch="310" w:charSpace="0"/>
        </w:sectPr>
      </w:pPr>
    </w:p>
    <w:p w14:paraId="06D1BEB5">
      <w:pPr>
        <w:ind w:firstLine="0" w:firstLineChars="0"/>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附件六</w:t>
      </w:r>
    </w:p>
    <w:p w14:paraId="7BA256CF">
      <w:pPr>
        <w:snapToGrid w:val="0"/>
        <w:spacing w:line="300" w:lineRule="auto"/>
        <w:contextualSpacing/>
        <w:jc w:val="center"/>
        <w:rPr>
          <w:rFonts w:ascii="宋体" w:hAnsi="宋体" w:cs="宋体"/>
          <w:b/>
          <w:sz w:val="32"/>
          <w:szCs w:val="32"/>
          <w:highlight w:val="none"/>
        </w:rPr>
      </w:pPr>
      <w:r>
        <w:rPr>
          <w:rFonts w:hint="eastAsia" w:ascii="宋体" w:hAnsi="宋体" w:cs="宋体"/>
          <w:b/>
          <w:sz w:val="32"/>
          <w:szCs w:val="32"/>
          <w:highlight w:val="none"/>
        </w:rPr>
        <w:t>技术部分正负偏离表</w:t>
      </w:r>
    </w:p>
    <w:p w14:paraId="1670EED7">
      <w:pPr>
        <w:ind w:left="0" w:leftChars="0" w:firstLine="0" w:firstLineChars="0"/>
        <w:jc w:val="center"/>
        <w:rPr>
          <w:rFonts w:ascii="宋体" w:hAnsi="宋体" w:cs="宋体"/>
          <w:sz w:val="28"/>
          <w:szCs w:val="28"/>
          <w:highlight w:val="none"/>
        </w:rPr>
      </w:pPr>
      <w:r>
        <w:rPr>
          <w:rFonts w:hint="eastAsia" w:ascii="宋体" w:hAnsi="宋体" w:cs="宋体"/>
          <w:sz w:val="28"/>
          <w:szCs w:val="28"/>
          <w:highlight w:val="none"/>
        </w:rPr>
        <w:t>（由供应商据实填写，表格不够自行添加）</w:t>
      </w:r>
    </w:p>
    <w:tbl>
      <w:tblPr>
        <w:tblStyle w:val="5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5"/>
        <w:gridCol w:w="2361"/>
        <w:gridCol w:w="2061"/>
        <w:gridCol w:w="2660"/>
        <w:gridCol w:w="1465"/>
      </w:tblGrid>
      <w:tr w14:paraId="1CEA8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5A58486F">
            <w:pPr>
              <w:spacing w:line="340" w:lineRule="exact"/>
              <w:ind w:left="0" w:leftChars="0" w:firstLine="0" w:firstLineChars="0"/>
              <w:jc w:val="both"/>
              <w:rPr>
                <w:rFonts w:ascii="宋体" w:hAnsi="宋体" w:cs="宋体"/>
                <w:sz w:val="24"/>
                <w:highlight w:val="none"/>
              </w:rPr>
            </w:pPr>
            <w:r>
              <w:rPr>
                <w:rFonts w:hint="eastAsia" w:ascii="宋体" w:hAnsi="宋体" w:cs="宋体"/>
                <w:sz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6C75E87B">
            <w:pPr>
              <w:spacing w:line="340" w:lineRule="exact"/>
              <w:ind w:left="0" w:leftChars="0" w:firstLine="0" w:firstLineChars="0"/>
              <w:jc w:val="center"/>
              <w:rPr>
                <w:rFonts w:ascii="宋体" w:hAnsi="宋体" w:cs="宋体"/>
                <w:sz w:val="24"/>
                <w:highlight w:val="none"/>
              </w:rPr>
            </w:pPr>
            <w:r>
              <w:rPr>
                <w:rFonts w:hint="eastAsia" w:ascii="宋体" w:hAnsi="宋体" w:cs="宋体"/>
                <w:sz w:val="24"/>
                <w:highlight w:val="none"/>
                <w:lang w:val="en-US" w:eastAsia="zh-CN"/>
              </w:rPr>
              <w:t>货物</w:t>
            </w:r>
            <w:r>
              <w:rPr>
                <w:rFonts w:hint="eastAsia" w:ascii="宋体" w:hAnsi="宋体" w:cs="宋体"/>
                <w:sz w:val="24"/>
                <w:highlight w:val="none"/>
              </w:rPr>
              <w:t>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74BE2C06">
            <w:pPr>
              <w:spacing w:line="340" w:lineRule="exact"/>
              <w:ind w:left="0" w:leftChars="0" w:firstLine="0" w:firstLineChars="0"/>
              <w:jc w:val="both"/>
              <w:rPr>
                <w:rFonts w:ascii="宋体" w:hAnsi="宋体" w:cs="宋体"/>
                <w:sz w:val="24"/>
                <w:highlight w:val="none"/>
              </w:rPr>
            </w:pPr>
            <w:r>
              <w:rPr>
                <w:rFonts w:hint="eastAsia" w:ascii="宋体" w:hAnsi="宋体" w:cs="宋体"/>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06B18AFE">
            <w:pPr>
              <w:spacing w:line="340" w:lineRule="exact"/>
              <w:ind w:left="0" w:leftChars="0" w:firstLine="0" w:firstLineChars="0"/>
              <w:jc w:val="both"/>
              <w:rPr>
                <w:rFonts w:ascii="宋体" w:hAnsi="宋体" w:cs="宋体"/>
                <w:sz w:val="24"/>
                <w:highlight w:val="none"/>
              </w:rPr>
            </w:pPr>
            <w:r>
              <w:rPr>
                <w:rFonts w:hint="eastAsia" w:ascii="宋体" w:hAnsi="宋体" w:cs="宋体"/>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6AC7F543">
            <w:pPr>
              <w:spacing w:line="340" w:lineRule="exact"/>
              <w:jc w:val="center"/>
              <w:rPr>
                <w:rFonts w:ascii="宋体" w:hAnsi="宋体" w:cs="宋体"/>
                <w:sz w:val="24"/>
                <w:highlight w:val="none"/>
              </w:rPr>
            </w:pPr>
          </w:p>
          <w:p w14:paraId="0445E062">
            <w:pPr>
              <w:spacing w:line="340" w:lineRule="exact"/>
              <w:ind w:left="0" w:leftChars="0" w:firstLine="0" w:firstLineChars="0"/>
              <w:jc w:val="both"/>
              <w:rPr>
                <w:rFonts w:ascii="宋体" w:hAnsi="宋体" w:cs="宋体"/>
                <w:sz w:val="24"/>
                <w:highlight w:val="none"/>
              </w:rPr>
            </w:pPr>
            <w:r>
              <w:rPr>
                <w:rFonts w:hint="eastAsia" w:ascii="宋体" w:hAnsi="宋体" w:cs="宋体"/>
                <w:sz w:val="24"/>
                <w:highlight w:val="none"/>
              </w:rPr>
              <w:t>偏离说明</w:t>
            </w:r>
          </w:p>
        </w:tc>
      </w:tr>
      <w:tr w14:paraId="1E652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54A6C4A2">
            <w:pPr>
              <w:spacing w:line="340" w:lineRule="exact"/>
              <w:ind w:left="0" w:leftChars="0" w:firstLine="0" w:firstLineChars="0"/>
              <w:jc w:val="center"/>
              <w:rPr>
                <w:rFonts w:ascii="宋体" w:hAnsi="宋体" w:cs="宋体"/>
                <w:sz w:val="24"/>
                <w:highlight w:val="none"/>
              </w:rPr>
            </w:pPr>
            <w:r>
              <w:rPr>
                <w:rFonts w:hint="eastAsia" w:ascii="宋体" w:hAnsi="宋体" w:cs="宋体"/>
                <w:sz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1C1A798E">
            <w:pPr>
              <w:spacing w:line="340" w:lineRule="exact"/>
              <w:jc w:val="left"/>
              <w:rPr>
                <w:rFonts w:ascii="宋体" w:hAnsi="宋体" w:cs="宋体"/>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E11A39E">
            <w:pPr>
              <w:spacing w:line="340" w:lineRule="exact"/>
              <w:jc w:val="left"/>
              <w:rPr>
                <w:rFonts w:ascii="宋体" w:hAnsi="宋体" w:cs="宋体"/>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7A0ADD70">
            <w:pPr>
              <w:spacing w:line="340" w:lineRule="exact"/>
              <w:jc w:val="left"/>
              <w:rPr>
                <w:rFonts w:ascii="宋体" w:hAnsi="宋体" w:cs="宋体"/>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64D6A90B">
            <w:pPr>
              <w:spacing w:line="340" w:lineRule="exact"/>
              <w:jc w:val="left"/>
              <w:rPr>
                <w:rFonts w:ascii="宋体" w:hAnsi="宋体" w:cs="宋体"/>
                <w:sz w:val="24"/>
                <w:highlight w:val="none"/>
              </w:rPr>
            </w:pPr>
          </w:p>
        </w:tc>
      </w:tr>
      <w:tr w14:paraId="23192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48DF3394">
            <w:pPr>
              <w:spacing w:line="340" w:lineRule="exact"/>
              <w:ind w:left="0" w:leftChars="0" w:firstLine="0" w:firstLineChars="0"/>
              <w:jc w:val="center"/>
              <w:rPr>
                <w:rFonts w:ascii="宋体" w:hAnsi="宋体" w:cs="宋体"/>
                <w:sz w:val="24"/>
                <w:highlight w:val="none"/>
              </w:rPr>
            </w:pPr>
            <w:r>
              <w:rPr>
                <w:rFonts w:hint="eastAsia" w:ascii="宋体" w:hAnsi="宋体" w:cs="宋体"/>
                <w:sz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0CACDFE5">
            <w:pPr>
              <w:spacing w:line="340" w:lineRule="exact"/>
              <w:jc w:val="left"/>
              <w:rPr>
                <w:rFonts w:ascii="宋体" w:hAnsi="宋体" w:cs="宋体"/>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358C64E">
            <w:pPr>
              <w:spacing w:line="340" w:lineRule="exact"/>
              <w:jc w:val="left"/>
              <w:rPr>
                <w:rFonts w:ascii="宋体" w:hAnsi="宋体" w:cs="宋体"/>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6888D1B">
            <w:pPr>
              <w:spacing w:line="340" w:lineRule="exact"/>
              <w:jc w:val="left"/>
              <w:rPr>
                <w:rFonts w:ascii="宋体" w:hAnsi="宋体" w:cs="宋体"/>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0E01C2ED">
            <w:pPr>
              <w:spacing w:line="340" w:lineRule="exact"/>
              <w:jc w:val="left"/>
              <w:rPr>
                <w:rFonts w:ascii="宋体" w:hAnsi="宋体" w:cs="宋体"/>
                <w:sz w:val="24"/>
                <w:highlight w:val="none"/>
              </w:rPr>
            </w:pPr>
          </w:p>
        </w:tc>
      </w:tr>
      <w:tr w14:paraId="59C3F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0452F041">
            <w:pPr>
              <w:spacing w:line="340" w:lineRule="exact"/>
              <w:ind w:left="0" w:leftChars="0" w:firstLine="0" w:firstLineChars="0"/>
              <w:jc w:val="center"/>
              <w:rPr>
                <w:rFonts w:ascii="宋体" w:hAnsi="宋体" w:cs="宋体"/>
                <w:sz w:val="24"/>
                <w:highlight w:val="none"/>
              </w:rPr>
            </w:pPr>
            <w:r>
              <w:rPr>
                <w:rFonts w:hint="eastAsia" w:ascii="宋体" w:hAnsi="宋体" w:cs="宋体"/>
                <w:sz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F714A7C">
            <w:pPr>
              <w:spacing w:line="340" w:lineRule="exact"/>
              <w:jc w:val="left"/>
              <w:rPr>
                <w:rFonts w:ascii="宋体" w:hAnsi="宋体" w:cs="宋体"/>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14FA8884">
            <w:pPr>
              <w:spacing w:line="340" w:lineRule="exact"/>
              <w:jc w:val="left"/>
              <w:rPr>
                <w:rFonts w:ascii="宋体" w:hAnsi="宋体" w:cs="宋体"/>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1EACBA3">
            <w:pPr>
              <w:spacing w:line="340" w:lineRule="exact"/>
              <w:jc w:val="left"/>
              <w:rPr>
                <w:rFonts w:ascii="宋体" w:hAnsi="宋体" w:cs="宋体"/>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6BF0F4E2">
            <w:pPr>
              <w:spacing w:line="340" w:lineRule="exact"/>
              <w:jc w:val="left"/>
              <w:rPr>
                <w:rFonts w:ascii="宋体" w:hAnsi="宋体" w:cs="宋体"/>
                <w:sz w:val="24"/>
                <w:highlight w:val="none"/>
              </w:rPr>
            </w:pPr>
          </w:p>
        </w:tc>
      </w:tr>
      <w:tr w14:paraId="0BFDB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66E843AC">
            <w:pPr>
              <w:spacing w:line="340" w:lineRule="exact"/>
              <w:ind w:left="0" w:leftChars="0" w:firstLine="0" w:firstLineChars="0"/>
              <w:jc w:val="center"/>
              <w:rPr>
                <w:rFonts w:ascii="宋体" w:hAnsi="宋体" w:cs="宋体"/>
                <w:sz w:val="24"/>
                <w:highlight w:val="none"/>
              </w:rPr>
            </w:pPr>
            <w:r>
              <w:rPr>
                <w:rFonts w:hint="eastAsia" w:ascii="宋体" w:hAnsi="宋体" w:cs="宋体"/>
                <w:sz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B699AC3">
            <w:pPr>
              <w:spacing w:line="340" w:lineRule="exact"/>
              <w:jc w:val="left"/>
              <w:rPr>
                <w:rFonts w:ascii="宋体" w:hAnsi="宋体" w:cs="宋体"/>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3BA7EFC">
            <w:pPr>
              <w:spacing w:line="340" w:lineRule="exact"/>
              <w:jc w:val="left"/>
              <w:rPr>
                <w:rFonts w:ascii="宋体" w:hAnsi="宋体" w:cs="宋体"/>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F959E57">
            <w:pPr>
              <w:spacing w:line="340" w:lineRule="exact"/>
              <w:jc w:val="left"/>
              <w:rPr>
                <w:rFonts w:ascii="宋体" w:hAnsi="宋体" w:cs="宋体"/>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02EA0718">
            <w:pPr>
              <w:spacing w:line="340" w:lineRule="exact"/>
              <w:jc w:val="left"/>
              <w:rPr>
                <w:rFonts w:ascii="宋体" w:hAnsi="宋体" w:cs="宋体"/>
                <w:sz w:val="24"/>
                <w:highlight w:val="none"/>
              </w:rPr>
            </w:pPr>
          </w:p>
        </w:tc>
      </w:tr>
    </w:tbl>
    <w:p w14:paraId="2AA520D1">
      <w:pPr>
        <w:snapToGrid w:val="0"/>
        <w:spacing w:line="300" w:lineRule="auto"/>
        <w:contextualSpacing/>
        <w:rPr>
          <w:rFonts w:ascii="宋体" w:hAnsi="宋体"/>
          <w:b/>
          <w:sz w:val="24"/>
          <w:highlight w:val="none"/>
        </w:rPr>
      </w:pPr>
      <w:r>
        <w:rPr>
          <w:rFonts w:hint="eastAsia" w:ascii="宋体" w:hAnsi="宋体"/>
          <w:b/>
          <w:sz w:val="24"/>
          <w:highlight w:val="none"/>
        </w:rPr>
        <w:t>注：</w:t>
      </w:r>
    </w:p>
    <w:p w14:paraId="491B3488">
      <w:pPr>
        <w:snapToGrid w:val="0"/>
        <w:spacing w:line="300" w:lineRule="auto"/>
        <w:ind w:firstLine="480" w:firstLineChars="200"/>
        <w:contextualSpacing/>
        <w:rPr>
          <w:rFonts w:hint="eastAsia" w:ascii="宋体" w:hAnsi="宋体"/>
          <w:bCs/>
          <w:sz w:val="24"/>
          <w:highlight w:val="none"/>
        </w:rPr>
      </w:pPr>
      <w:r>
        <w:rPr>
          <w:rFonts w:hint="eastAsia" w:ascii="宋体" w:hAnsi="宋体"/>
          <w:sz w:val="24"/>
          <w:highlight w:val="none"/>
        </w:rPr>
        <w:t>1.投标人提交的投标文件中与</w:t>
      </w:r>
      <w:r>
        <w:rPr>
          <w:rFonts w:hint="eastAsia" w:ascii="宋体" w:hAnsi="宋体"/>
          <w:sz w:val="24"/>
          <w:highlight w:val="none"/>
          <w:lang w:val="en-US" w:eastAsia="zh-CN"/>
        </w:rPr>
        <w:t>采购</w:t>
      </w:r>
      <w:r>
        <w:rPr>
          <w:rFonts w:hint="eastAsia" w:ascii="宋体" w:hAnsi="宋体"/>
          <w:sz w:val="24"/>
          <w:highlight w:val="none"/>
        </w:rPr>
        <w:t>文件第三部分“项目需求”中的技术部分的要求如有偏离的，应逐条填列在偏离表中。</w:t>
      </w:r>
      <w:r>
        <w:rPr>
          <w:rFonts w:hint="eastAsia" w:ascii="宋体" w:hAnsi="宋体"/>
          <w:bCs/>
          <w:sz w:val="24"/>
          <w:highlight w:val="none"/>
        </w:rPr>
        <w:t>未填写的内容视为完全响应本招标文件要求。</w:t>
      </w:r>
    </w:p>
    <w:p w14:paraId="6CFE49B6">
      <w:pPr>
        <w:snapToGrid w:val="0"/>
        <w:spacing w:line="300" w:lineRule="auto"/>
        <w:ind w:firstLine="480" w:firstLineChars="200"/>
        <w:contextualSpacing/>
        <w:rPr>
          <w:rFonts w:ascii="宋体" w:hAnsi="宋体"/>
          <w:bCs/>
          <w:sz w:val="24"/>
          <w:highlight w:val="none"/>
        </w:rPr>
      </w:pPr>
      <w:r>
        <w:rPr>
          <w:rFonts w:hint="eastAsia" w:ascii="宋体" w:hAnsi="宋体"/>
          <w:bCs/>
          <w:sz w:val="24"/>
          <w:highlight w:val="none"/>
        </w:rPr>
        <w:t>2. “偏离说明”一栏选择“正偏离”、“无偏离”、“负偏离”进行填写。正偏离、无偏离的确认和负偏离的是否响应招标文件，由评委认定。</w:t>
      </w:r>
    </w:p>
    <w:p w14:paraId="69B1EADC">
      <w:pPr>
        <w:snapToGrid w:val="0"/>
        <w:spacing w:line="300" w:lineRule="auto"/>
        <w:ind w:firstLine="480" w:firstLineChars="200"/>
        <w:contextualSpacing/>
        <w:rPr>
          <w:rFonts w:ascii="宋体" w:hAnsi="宋体"/>
          <w:bCs/>
          <w:sz w:val="24"/>
          <w:highlight w:val="none"/>
        </w:rPr>
      </w:pPr>
      <w:r>
        <w:rPr>
          <w:rFonts w:hint="eastAsia" w:ascii="宋体" w:hAnsi="宋体"/>
          <w:bCs/>
          <w:sz w:val="24"/>
          <w:highlight w:val="none"/>
        </w:rPr>
        <w:t>3.供应商若提供其他增值服务，可以在表中自行据实填写。</w:t>
      </w:r>
    </w:p>
    <w:p w14:paraId="0807F295">
      <w:pPr>
        <w:spacing w:line="480" w:lineRule="exact"/>
        <w:ind w:firstLine="538"/>
        <w:jc w:val="center"/>
        <w:rPr>
          <w:rFonts w:ascii="宋体" w:hAnsi="宋体"/>
          <w:b/>
          <w:sz w:val="32"/>
          <w:szCs w:val="32"/>
          <w:highlight w:val="none"/>
        </w:rPr>
      </w:pPr>
    </w:p>
    <w:p w14:paraId="3F89BC3E">
      <w:pPr>
        <w:pStyle w:val="25"/>
        <w:adjustRightInd w:val="0"/>
        <w:snapToGrid w:val="0"/>
        <w:spacing w:line="360" w:lineRule="auto"/>
        <w:ind w:firstLine="218" w:firstLineChars="78"/>
        <w:rPr>
          <w:rFonts w:hAnsi="宋体"/>
          <w:sz w:val="28"/>
          <w:szCs w:val="28"/>
          <w:highlight w:val="none"/>
          <w:u w:val="single"/>
        </w:rPr>
      </w:pPr>
      <w:r>
        <w:rPr>
          <w:rFonts w:hAnsi="宋体"/>
          <w:sz w:val="28"/>
          <w:szCs w:val="28"/>
          <w:highlight w:val="none"/>
        </w:rPr>
        <w:t>投 标 人 名 称  (盖章)：</w:t>
      </w:r>
      <w:r>
        <w:rPr>
          <w:rFonts w:hint="eastAsia" w:hAnsi="宋体"/>
          <w:sz w:val="28"/>
          <w:szCs w:val="28"/>
          <w:highlight w:val="none"/>
          <w:u w:val="single"/>
        </w:rPr>
        <w:t xml:space="preserve">          </w:t>
      </w:r>
      <w:r>
        <w:rPr>
          <w:rFonts w:hint="eastAsia" w:hAnsi="宋体"/>
          <w:sz w:val="28"/>
          <w:szCs w:val="28"/>
          <w:highlight w:val="none"/>
          <w:u w:val="single"/>
          <w:lang w:val="en-US" w:eastAsia="zh-CN"/>
        </w:rPr>
        <w:t xml:space="preserve">      </w:t>
      </w:r>
      <w:r>
        <w:rPr>
          <w:rFonts w:hint="eastAsia" w:hAnsi="宋体"/>
          <w:sz w:val="28"/>
          <w:szCs w:val="28"/>
          <w:highlight w:val="none"/>
          <w:u w:val="single"/>
        </w:rPr>
        <w:t xml:space="preserve">       </w:t>
      </w:r>
    </w:p>
    <w:p w14:paraId="29FCC940">
      <w:pPr>
        <w:pStyle w:val="25"/>
        <w:adjustRightInd w:val="0"/>
        <w:snapToGrid w:val="0"/>
        <w:spacing w:line="360" w:lineRule="auto"/>
        <w:ind w:firstLine="218" w:firstLineChars="78"/>
        <w:rPr>
          <w:rFonts w:hAnsi="宋体"/>
          <w:sz w:val="28"/>
          <w:szCs w:val="28"/>
          <w:highlight w:val="none"/>
        </w:rPr>
      </w:pPr>
      <w:r>
        <w:rPr>
          <w:rFonts w:hAnsi="宋体"/>
          <w:sz w:val="28"/>
          <w:szCs w:val="28"/>
          <w:highlight w:val="none"/>
        </w:rPr>
        <w:t>法定代表人或法定代表授权人(签字</w:t>
      </w:r>
      <w:r>
        <w:rPr>
          <w:rFonts w:hint="eastAsia" w:hAnsi="宋体"/>
          <w:sz w:val="28"/>
          <w:szCs w:val="28"/>
          <w:highlight w:val="none"/>
        </w:rPr>
        <w:t>或盖章</w:t>
      </w:r>
      <w:r>
        <w:rPr>
          <w:rFonts w:hAnsi="宋体"/>
          <w:sz w:val="28"/>
          <w:szCs w:val="28"/>
          <w:highlight w:val="none"/>
        </w:rPr>
        <w:t>)：_______</w:t>
      </w:r>
    </w:p>
    <w:p w14:paraId="0B33241F">
      <w:pPr>
        <w:pStyle w:val="19"/>
        <w:ind w:firstLine="218" w:firstLineChars="78"/>
        <w:rPr>
          <w:rFonts w:hint="eastAsia" w:ascii="宋体" w:hAnsi="宋体" w:eastAsia="宋体" w:cs="宋体"/>
          <w:sz w:val="28"/>
          <w:szCs w:val="28"/>
          <w:highlight w:val="none"/>
        </w:rPr>
        <w:sectPr>
          <w:pgSz w:w="11906" w:h="16838"/>
          <w:pgMar w:top="1134" w:right="1134" w:bottom="1134" w:left="1576" w:header="737" w:footer="567" w:gutter="0"/>
          <w:pgNumType w:fmt="numberInDash"/>
          <w:cols w:space="720" w:num="1"/>
          <w:titlePg/>
          <w:docGrid w:type="lines" w:linePitch="310" w:charSpace="0"/>
        </w:sectPr>
      </w:pPr>
      <w:r>
        <w:rPr>
          <w:rFonts w:hint="eastAsia" w:ascii="宋体" w:hAnsi="宋体" w:eastAsia="宋体" w:cs="宋体"/>
          <w:sz w:val="28"/>
          <w:szCs w:val="28"/>
          <w:highlight w:val="none"/>
        </w:rPr>
        <w:t>日期：     年   月   日</w:t>
      </w:r>
    </w:p>
    <w:p w14:paraId="2AADFCE2">
      <w:pPr>
        <w:ind w:firstLine="0" w:firstLineChars="0"/>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七</w:t>
      </w:r>
    </w:p>
    <w:p w14:paraId="6FCB3FBE">
      <w:pPr>
        <w:pStyle w:val="3"/>
        <w:keepNext w:val="0"/>
        <w:keepLines w:val="0"/>
        <w:spacing w:line="360" w:lineRule="exact"/>
        <w:jc w:val="center"/>
        <w:rPr>
          <w:rFonts w:ascii="宋体" w:hAnsi="宋体" w:cs="宋体"/>
          <w:color w:val="auto"/>
          <w:highlight w:val="none"/>
        </w:rPr>
      </w:pPr>
      <w:r>
        <w:rPr>
          <w:rFonts w:hint="eastAsia" w:ascii="宋体" w:hAnsi="宋体" w:cs="宋体"/>
          <w:color w:val="auto"/>
          <w:highlight w:val="none"/>
        </w:rPr>
        <w:t>报价一览表</w:t>
      </w:r>
    </w:p>
    <w:p w14:paraId="63594D77">
      <w:pPr>
        <w:adjustRightInd w:val="0"/>
        <w:snapToGrid w:val="0"/>
        <w:ind w:firstLine="557" w:firstLineChars="199"/>
        <w:rPr>
          <w:rFonts w:ascii="宋体" w:hAnsi="宋体"/>
          <w:color w:val="auto"/>
          <w:sz w:val="28"/>
          <w:szCs w:val="28"/>
          <w:highlight w:val="none"/>
        </w:rPr>
      </w:pPr>
      <w:r>
        <w:rPr>
          <w:rFonts w:hint="eastAsia" w:ascii="宋体" w:hAnsi="宋体" w:cs="宋体"/>
          <w:color w:val="auto"/>
          <w:sz w:val="28"/>
          <w:szCs w:val="28"/>
          <w:highlight w:val="none"/>
        </w:rPr>
        <w:t>致：</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 xml:space="preserve"> ：</w:t>
      </w:r>
    </w:p>
    <w:p w14:paraId="73FDA85E">
      <w:pPr>
        <w:adjustRightInd w:val="0"/>
        <w:snapToGrid w:val="0"/>
        <w:ind w:firstLine="1117" w:firstLineChars="399"/>
        <w:rPr>
          <w:rFonts w:ascii="宋体" w:hAnsi="宋体"/>
          <w:color w:val="auto"/>
          <w:sz w:val="28"/>
          <w:szCs w:val="28"/>
          <w:highlight w:val="none"/>
        </w:rPr>
      </w:pPr>
      <w:r>
        <w:rPr>
          <w:rFonts w:hint="eastAsia" w:ascii="宋体" w:hAnsi="宋体"/>
          <w:color w:val="auto"/>
          <w:sz w:val="28"/>
          <w:szCs w:val="28"/>
          <w:highlight w:val="none"/>
        </w:rPr>
        <w:t>我单位将遵照《</w:t>
      </w:r>
      <w:r>
        <w:rPr>
          <w:rFonts w:hint="eastAsia" w:ascii="宋体" w:hAnsi="宋体" w:cs="宋体"/>
          <w:color w:val="auto"/>
          <w:kern w:val="0"/>
          <w:sz w:val="28"/>
          <w:szCs w:val="28"/>
          <w:highlight w:val="none"/>
        </w:rPr>
        <w:t>中华人民共和国政府采购法</w:t>
      </w:r>
      <w:r>
        <w:rPr>
          <w:rFonts w:hint="eastAsia" w:ascii="宋体" w:hAnsi="宋体"/>
          <w:color w:val="auto"/>
          <w:sz w:val="28"/>
          <w:szCs w:val="28"/>
          <w:highlight w:val="none"/>
        </w:rPr>
        <w:t>》等有关规定并根据本磋商文件的要求，经研究磋商文件后，愿以</w:t>
      </w:r>
      <w:r>
        <w:rPr>
          <w:rFonts w:hint="eastAsia" w:ascii="宋体" w:hAnsi="宋体"/>
          <w:color w:val="auto"/>
          <w:sz w:val="28"/>
          <w:szCs w:val="28"/>
          <w:highlight w:val="none"/>
          <w:lang w:val="en-US" w:eastAsia="zh-CN"/>
        </w:rPr>
        <w:t>人民币</w:t>
      </w:r>
      <w:r>
        <w:rPr>
          <w:rFonts w:hint="eastAsia" w:ascii="宋体" w:hAnsi="宋体"/>
          <w:color w:val="auto"/>
          <w:sz w:val="28"/>
          <w:szCs w:val="28"/>
          <w:highlight w:val="none"/>
          <w:u w:val="single"/>
          <w:lang w:val="en-US" w:eastAsia="zh-CN"/>
        </w:rPr>
        <w:t xml:space="preserve">        元</w:t>
      </w:r>
      <w:r>
        <w:rPr>
          <w:rFonts w:hint="eastAsia" w:ascii="宋体" w:hAnsi="宋体" w:eastAsia="宋体"/>
          <w:color w:val="auto"/>
          <w:sz w:val="28"/>
          <w:szCs w:val="28"/>
          <w:highlight w:val="none"/>
          <w:lang w:val="en-US" w:eastAsia="zh-CN"/>
        </w:rPr>
        <w:t>的报价</w:t>
      </w:r>
      <w:r>
        <w:rPr>
          <w:rFonts w:hint="eastAsia" w:ascii="宋体" w:hAnsi="宋体"/>
          <w:color w:val="auto"/>
          <w:sz w:val="28"/>
          <w:szCs w:val="28"/>
          <w:highlight w:val="none"/>
          <w:lang w:val="en-US" w:eastAsia="zh-CN"/>
        </w:rPr>
        <w:t>进行报价并承担本项目所需的全部内容</w:t>
      </w:r>
      <w:r>
        <w:rPr>
          <w:rFonts w:hint="eastAsia" w:ascii="宋体" w:hAnsi="宋体"/>
          <w:color w:val="auto"/>
          <w:sz w:val="28"/>
          <w:szCs w:val="28"/>
          <w:highlight w:val="none"/>
        </w:rPr>
        <w:t>。</w:t>
      </w:r>
    </w:p>
    <w:p w14:paraId="25A500C2">
      <w:pPr>
        <w:adjustRightInd w:val="0"/>
        <w:snapToGrid w:val="0"/>
        <w:ind w:firstLine="560"/>
        <w:rPr>
          <w:rFonts w:ascii="宋体" w:hAnsi="宋体" w:cs="宋体"/>
          <w:color w:val="auto"/>
          <w:sz w:val="28"/>
          <w:szCs w:val="28"/>
          <w:highlight w:val="none"/>
        </w:rPr>
      </w:pPr>
    </w:p>
    <w:p w14:paraId="461AC727">
      <w:pPr>
        <w:adjustRightInd w:val="0"/>
        <w:snapToGrid w:val="0"/>
        <w:ind w:firstLine="840" w:firstLineChars="300"/>
        <w:rPr>
          <w:rFonts w:ascii="宋体" w:hAnsi="宋体" w:cs="宋体"/>
          <w:color w:val="auto"/>
          <w:sz w:val="28"/>
          <w:szCs w:val="28"/>
          <w:highlight w:val="none"/>
        </w:rPr>
      </w:pPr>
      <w:r>
        <w:rPr>
          <w:rFonts w:hint="eastAsia" w:ascii="宋体" w:hAnsi="宋体" w:cs="宋体"/>
          <w:color w:val="auto"/>
          <w:sz w:val="28"/>
          <w:szCs w:val="28"/>
          <w:highlight w:val="none"/>
        </w:rPr>
        <w:t xml:space="preserve"> 投标人全称（盖单位公章）：  </w:t>
      </w:r>
    </w:p>
    <w:p w14:paraId="0C56F13F">
      <w:pPr>
        <w:adjustRightInd w:val="0"/>
        <w:snapToGrid w:val="0"/>
        <w:rPr>
          <w:rFonts w:ascii="宋体" w:hAnsi="宋体" w:cs="宋体"/>
          <w:color w:val="auto"/>
          <w:sz w:val="28"/>
          <w:szCs w:val="28"/>
          <w:highlight w:val="none"/>
        </w:rPr>
      </w:pPr>
      <w:r>
        <w:rPr>
          <w:rFonts w:hint="eastAsia" w:ascii="宋体" w:hAnsi="宋体" w:cs="宋体"/>
          <w:color w:val="auto"/>
          <w:sz w:val="28"/>
          <w:szCs w:val="28"/>
          <w:highlight w:val="none"/>
        </w:rPr>
        <w:t xml:space="preserve">   法定代表人或其授权委托人（签字或盖章）：</w:t>
      </w:r>
    </w:p>
    <w:p w14:paraId="7E71BBB3">
      <w:pPr>
        <w:pStyle w:val="18"/>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C3ABC9C">
      <w:pPr>
        <w:pStyle w:val="2"/>
        <w:keepNext w:val="0"/>
        <w:jc w:val="both"/>
        <w:rPr>
          <w:color w:val="auto"/>
          <w:sz w:val="24"/>
          <w:szCs w:val="24"/>
          <w:highlight w:val="none"/>
        </w:rPr>
      </w:pPr>
    </w:p>
    <w:p w14:paraId="0F415166">
      <w:pPr>
        <w:ind w:firstLine="0" w:firstLineChars="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注：本报价非最</w:t>
      </w:r>
      <w:r>
        <w:rPr>
          <w:rFonts w:hint="eastAsia" w:ascii="宋体" w:hAnsi="宋体" w:cs="宋体"/>
          <w:b/>
          <w:bCs/>
          <w:color w:val="auto"/>
          <w:sz w:val="28"/>
          <w:szCs w:val="28"/>
          <w:highlight w:val="none"/>
          <w:lang w:val="en-US" w:eastAsia="zh-CN"/>
        </w:rPr>
        <w:t>终</w:t>
      </w:r>
      <w:r>
        <w:rPr>
          <w:rFonts w:hint="eastAsia" w:ascii="宋体" w:hAnsi="宋体" w:cs="宋体"/>
          <w:b/>
          <w:bCs/>
          <w:color w:val="auto"/>
          <w:sz w:val="28"/>
          <w:szCs w:val="28"/>
          <w:highlight w:val="none"/>
        </w:rPr>
        <w:t>报价，最后报价以</w:t>
      </w:r>
      <w:r>
        <w:rPr>
          <w:rFonts w:hint="eastAsia" w:ascii="宋体" w:hAnsi="宋体" w:cs="宋体"/>
          <w:b/>
          <w:bCs/>
          <w:color w:val="auto"/>
          <w:sz w:val="28"/>
          <w:szCs w:val="28"/>
          <w:highlight w:val="none"/>
          <w:lang w:val="en-US" w:eastAsia="zh-CN"/>
        </w:rPr>
        <w:t>现场报价单</w:t>
      </w:r>
      <w:r>
        <w:rPr>
          <w:rFonts w:hint="eastAsia" w:ascii="宋体" w:hAnsi="宋体" w:cs="宋体"/>
          <w:b/>
          <w:bCs/>
          <w:color w:val="auto"/>
          <w:sz w:val="28"/>
          <w:szCs w:val="28"/>
          <w:highlight w:val="none"/>
        </w:rPr>
        <w:t>为准。</w:t>
      </w:r>
    </w:p>
    <w:p w14:paraId="6DA17EAF">
      <w:pPr>
        <w:ind w:firstLine="0" w:firstLineChars="0"/>
        <w:jc w:val="left"/>
        <w:rPr>
          <w:rFonts w:hint="eastAsia" w:ascii="宋体" w:hAnsi="宋体" w:cs="宋体"/>
          <w:b/>
          <w:bCs/>
          <w:color w:val="auto"/>
          <w:sz w:val="28"/>
          <w:szCs w:val="28"/>
          <w:highlight w:val="none"/>
        </w:rPr>
      </w:pPr>
    </w:p>
    <w:p w14:paraId="10C71D1C">
      <w:pPr>
        <w:ind w:firstLine="0" w:firstLineChars="0"/>
        <w:jc w:val="left"/>
        <w:rPr>
          <w:rFonts w:hint="eastAsia" w:ascii="宋体" w:hAnsi="宋体" w:cs="宋体"/>
          <w:b/>
          <w:bCs/>
          <w:color w:val="auto"/>
          <w:sz w:val="28"/>
          <w:szCs w:val="28"/>
          <w:highlight w:val="none"/>
        </w:rPr>
      </w:pPr>
    </w:p>
    <w:p w14:paraId="3DEF0231">
      <w:pPr>
        <w:ind w:firstLine="0" w:firstLineChars="0"/>
        <w:jc w:val="left"/>
        <w:rPr>
          <w:rFonts w:hint="eastAsia" w:ascii="宋体" w:hAnsi="宋体" w:cs="宋体"/>
          <w:b/>
          <w:bCs/>
          <w:color w:val="auto"/>
          <w:sz w:val="28"/>
          <w:szCs w:val="28"/>
          <w:highlight w:val="none"/>
        </w:rPr>
      </w:pPr>
    </w:p>
    <w:p w14:paraId="7A626F12">
      <w:pPr>
        <w:ind w:firstLine="0" w:firstLineChars="0"/>
        <w:jc w:val="left"/>
        <w:rPr>
          <w:rFonts w:hint="eastAsia" w:ascii="宋体" w:hAnsi="宋体" w:cs="宋体"/>
          <w:b/>
          <w:bCs/>
          <w:color w:val="auto"/>
          <w:sz w:val="28"/>
          <w:szCs w:val="28"/>
          <w:highlight w:val="none"/>
        </w:rPr>
      </w:pPr>
    </w:p>
    <w:p w14:paraId="19028158">
      <w:pPr>
        <w:ind w:firstLine="0" w:firstLineChars="0"/>
        <w:jc w:val="left"/>
        <w:rPr>
          <w:rFonts w:hint="eastAsia" w:ascii="宋体" w:hAnsi="宋体" w:cs="宋体"/>
          <w:b/>
          <w:bCs/>
          <w:color w:val="auto"/>
          <w:sz w:val="28"/>
          <w:szCs w:val="28"/>
          <w:highlight w:val="none"/>
        </w:rPr>
      </w:pPr>
    </w:p>
    <w:p w14:paraId="21FB2FD9">
      <w:pPr>
        <w:ind w:firstLine="0" w:firstLineChars="0"/>
        <w:jc w:val="left"/>
        <w:rPr>
          <w:rFonts w:hint="eastAsia" w:ascii="宋体" w:hAnsi="宋体" w:cs="宋体"/>
          <w:b/>
          <w:bCs/>
          <w:color w:val="auto"/>
          <w:sz w:val="28"/>
          <w:szCs w:val="28"/>
          <w:highlight w:val="none"/>
        </w:rPr>
      </w:pPr>
    </w:p>
    <w:p w14:paraId="48EDB7CC">
      <w:pPr>
        <w:ind w:firstLine="0" w:firstLineChars="0"/>
        <w:jc w:val="left"/>
        <w:rPr>
          <w:rFonts w:hint="eastAsia" w:ascii="宋体" w:hAnsi="宋体" w:cs="宋体"/>
          <w:b/>
          <w:bCs/>
          <w:color w:val="auto"/>
          <w:sz w:val="28"/>
          <w:szCs w:val="28"/>
          <w:highlight w:val="none"/>
        </w:rPr>
      </w:pPr>
    </w:p>
    <w:p w14:paraId="20CBA144">
      <w:pPr>
        <w:ind w:firstLine="0" w:firstLineChars="0"/>
        <w:jc w:val="left"/>
        <w:rPr>
          <w:rFonts w:hint="eastAsia" w:ascii="宋体" w:hAnsi="宋体" w:cs="宋体"/>
          <w:b/>
          <w:bCs/>
          <w:color w:val="auto"/>
          <w:sz w:val="28"/>
          <w:szCs w:val="28"/>
          <w:highlight w:val="none"/>
        </w:rPr>
      </w:pPr>
    </w:p>
    <w:p w14:paraId="7F12107B">
      <w:pPr>
        <w:ind w:firstLine="0" w:firstLineChars="0"/>
        <w:jc w:val="left"/>
        <w:rPr>
          <w:rFonts w:hint="eastAsia" w:ascii="宋体" w:hAnsi="宋体" w:cs="宋体"/>
          <w:b/>
          <w:bCs/>
          <w:color w:val="auto"/>
          <w:sz w:val="28"/>
          <w:szCs w:val="28"/>
          <w:highlight w:val="none"/>
        </w:rPr>
      </w:pPr>
    </w:p>
    <w:p w14:paraId="6A8FC0AC">
      <w:pPr>
        <w:ind w:firstLine="0" w:firstLineChars="0"/>
        <w:jc w:val="left"/>
        <w:rPr>
          <w:rFonts w:hint="eastAsia" w:ascii="宋体" w:hAnsi="宋体" w:cs="宋体"/>
          <w:b/>
          <w:bCs/>
          <w:color w:val="auto"/>
          <w:sz w:val="28"/>
          <w:szCs w:val="28"/>
          <w:highlight w:val="none"/>
          <w:lang w:val="en-US" w:eastAsia="zh-CN"/>
        </w:rPr>
        <w:sectPr>
          <w:footerReference r:id="rId19" w:type="default"/>
          <w:pgSz w:w="11907" w:h="16838"/>
          <w:pgMar w:top="1418" w:right="1418" w:bottom="1418" w:left="1418" w:header="851" w:footer="992" w:gutter="0"/>
          <w:pgNumType w:fmt="decimal"/>
          <w:cols w:space="720" w:num="1"/>
          <w:docGrid w:linePitch="312" w:charSpace="0"/>
        </w:sectPr>
      </w:pPr>
    </w:p>
    <w:p w14:paraId="607FE0F8">
      <w:pPr>
        <w:ind w:firstLine="0" w:firstLineChars="0"/>
        <w:jc w:val="left"/>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附件八</w:t>
      </w:r>
    </w:p>
    <w:p w14:paraId="40996A1F">
      <w:pPr>
        <w:ind w:firstLine="0" w:firstLineChars="0"/>
        <w:jc w:val="left"/>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 xml:space="preserve">                                             报价明细表</w:t>
      </w:r>
    </w:p>
    <w:p w14:paraId="4360B064">
      <w:pPr>
        <w:ind w:firstLine="0" w:firstLineChars="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项目名称： 如东县城管局厨房设备采购及安装项目</w:t>
      </w:r>
    </w:p>
    <w:tbl>
      <w:tblPr>
        <w:tblStyle w:val="50"/>
        <w:tblW w:w="1437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5"/>
        <w:gridCol w:w="1583"/>
        <w:gridCol w:w="1302"/>
        <w:gridCol w:w="6198"/>
        <w:gridCol w:w="1258"/>
        <w:gridCol w:w="788"/>
        <w:gridCol w:w="788"/>
        <w:gridCol w:w="788"/>
        <w:gridCol w:w="1133"/>
      </w:tblGrid>
      <w:tr w14:paraId="2A4A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trPr>
        <w:tc>
          <w:tcPr>
            <w:tcW w:w="535" w:type="dxa"/>
            <w:shd w:val="clear" w:color="auto" w:fill="FFFFFF"/>
            <w:vAlign w:val="center"/>
          </w:tcPr>
          <w:p w14:paraId="217DFF9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序号</w:t>
            </w:r>
          </w:p>
        </w:tc>
        <w:tc>
          <w:tcPr>
            <w:tcW w:w="1583" w:type="dxa"/>
            <w:shd w:val="clear" w:color="auto" w:fill="FFFFFF"/>
            <w:vAlign w:val="center"/>
          </w:tcPr>
          <w:p w14:paraId="34FA8A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名称</w:t>
            </w:r>
          </w:p>
        </w:tc>
        <w:tc>
          <w:tcPr>
            <w:tcW w:w="1302" w:type="dxa"/>
            <w:shd w:val="clear" w:color="auto" w:fill="FFFFFF"/>
            <w:vAlign w:val="center"/>
          </w:tcPr>
          <w:p w14:paraId="16970677">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w:t>
            </w:r>
          </w:p>
        </w:tc>
        <w:tc>
          <w:tcPr>
            <w:tcW w:w="6198" w:type="dxa"/>
            <w:shd w:val="clear" w:color="auto" w:fill="FFFFFF"/>
            <w:vAlign w:val="center"/>
          </w:tcPr>
          <w:p w14:paraId="71CE05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参数</w:t>
            </w:r>
          </w:p>
        </w:tc>
        <w:tc>
          <w:tcPr>
            <w:tcW w:w="1258" w:type="dxa"/>
            <w:shd w:val="clear" w:color="auto" w:fill="FFFFFF"/>
            <w:vAlign w:val="center"/>
          </w:tcPr>
          <w:p w14:paraId="548426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788" w:type="dxa"/>
            <w:shd w:val="clear" w:color="auto" w:fill="FFFFFF"/>
            <w:vAlign w:val="center"/>
          </w:tcPr>
          <w:p w14:paraId="4AC501B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c>
          <w:tcPr>
            <w:tcW w:w="788" w:type="dxa"/>
            <w:shd w:val="clear" w:color="auto" w:fill="FFFFFF"/>
            <w:vAlign w:val="center"/>
          </w:tcPr>
          <w:p w14:paraId="65DA3742">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单价（元）</w:t>
            </w:r>
          </w:p>
        </w:tc>
        <w:tc>
          <w:tcPr>
            <w:tcW w:w="788" w:type="dxa"/>
            <w:shd w:val="clear" w:color="auto" w:fill="FFFFFF"/>
            <w:vAlign w:val="center"/>
          </w:tcPr>
          <w:p w14:paraId="0B449EBF">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合价（元）</w:t>
            </w:r>
          </w:p>
        </w:tc>
        <w:tc>
          <w:tcPr>
            <w:tcW w:w="1133" w:type="dxa"/>
            <w:shd w:val="clear" w:color="auto" w:fill="FFFFFF"/>
            <w:vAlign w:val="center"/>
          </w:tcPr>
          <w:p w14:paraId="3D718C6E">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所投品牌及型号</w:t>
            </w:r>
          </w:p>
        </w:tc>
      </w:tr>
      <w:tr w14:paraId="546A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535" w:type="dxa"/>
            <w:shd w:val="clear" w:color="auto" w:fill="FFFFFF"/>
            <w:vAlign w:val="center"/>
          </w:tcPr>
          <w:p w14:paraId="457ECD8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583" w:type="dxa"/>
            <w:shd w:val="clear" w:color="auto" w:fill="FFFFFF"/>
            <w:vAlign w:val="center"/>
          </w:tcPr>
          <w:p w14:paraId="509D5DD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不锈钢地架</w:t>
            </w:r>
          </w:p>
        </w:tc>
        <w:tc>
          <w:tcPr>
            <w:tcW w:w="1302" w:type="dxa"/>
            <w:shd w:val="clear" w:color="auto" w:fill="FFFFFF"/>
            <w:vAlign w:val="center"/>
          </w:tcPr>
          <w:p w14:paraId="61A3F7A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1200*500*250</w:t>
            </w:r>
          </w:p>
        </w:tc>
        <w:tc>
          <w:tcPr>
            <w:tcW w:w="6198" w:type="dxa"/>
            <w:shd w:val="clear" w:color="auto" w:fill="FFFFFF"/>
            <w:vAlign w:val="center"/>
          </w:tcPr>
          <w:p w14:paraId="638AED8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主材为SUS304不锈钢管，四周边框采用38*25*1.0mm不锈钢管制作，中间排挡采用25*13*0.7mm不锈钢管制作，档距为50mm，均布；四根脚管为25*25*1.0mm不锈钢管，下垫橡胶垫。</w:t>
            </w:r>
          </w:p>
        </w:tc>
        <w:tc>
          <w:tcPr>
            <w:tcW w:w="1258" w:type="dxa"/>
            <w:shd w:val="clear" w:color="auto" w:fill="FFFFFF"/>
            <w:vAlign w:val="center"/>
          </w:tcPr>
          <w:p w14:paraId="1A3E4E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c>
          <w:tcPr>
            <w:tcW w:w="788" w:type="dxa"/>
            <w:shd w:val="clear" w:color="auto" w:fill="FFFFFF"/>
            <w:vAlign w:val="center"/>
          </w:tcPr>
          <w:p w14:paraId="4FF26CE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88" w:type="dxa"/>
            <w:shd w:val="clear" w:color="auto" w:fill="FFFFFF"/>
            <w:vAlign w:val="center"/>
          </w:tcPr>
          <w:p w14:paraId="41EBEF1E">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8" w:type="dxa"/>
            <w:shd w:val="clear" w:color="auto" w:fill="FFFFFF"/>
            <w:vAlign w:val="center"/>
          </w:tcPr>
          <w:p w14:paraId="372BE1F1">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33" w:type="dxa"/>
            <w:shd w:val="clear" w:color="auto" w:fill="FFFFFF"/>
            <w:vAlign w:val="center"/>
          </w:tcPr>
          <w:p w14:paraId="3C48B2CB">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747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535" w:type="dxa"/>
            <w:shd w:val="clear" w:color="auto" w:fill="FFFFFF"/>
            <w:vAlign w:val="center"/>
          </w:tcPr>
          <w:p w14:paraId="495DF5E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1583" w:type="dxa"/>
            <w:shd w:val="clear" w:color="auto" w:fill="FFFFFF"/>
            <w:vAlign w:val="center"/>
          </w:tcPr>
          <w:p w14:paraId="2A11260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四层货架</w:t>
            </w:r>
          </w:p>
        </w:tc>
        <w:tc>
          <w:tcPr>
            <w:tcW w:w="1302" w:type="dxa"/>
            <w:shd w:val="clear" w:color="auto" w:fill="FFFFFF"/>
            <w:vAlign w:val="center"/>
          </w:tcPr>
          <w:p w14:paraId="5FB08AC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1200*500*1800</w:t>
            </w:r>
          </w:p>
        </w:tc>
        <w:tc>
          <w:tcPr>
            <w:tcW w:w="6198" w:type="dxa"/>
            <w:shd w:val="clear" w:color="auto" w:fill="FFFFFF"/>
            <w:vAlign w:val="center"/>
          </w:tcPr>
          <w:p w14:paraId="45A7E16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采用SUS304#不锈钢拉丝板，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1、层板全部为1.2mm厚不锈钢结构，满足卫生和清洁要求；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2、货架体与货架层板的连接点均焊接抛光；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3、货架层板底部采用加强筋，厚度为1.0mm；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4、货架体采用φ50㎜×1.2mm厚不锈钢圆管；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5、配不锈钢可调节子弹脚。</w:t>
            </w:r>
          </w:p>
        </w:tc>
        <w:tc>
          <w:tcPr>
            <w:tcW w:w="1258" w:type="dxa"/>
            <w:shd w:val="clear" w:color="auto" w:fill="FFFFFF"/>
            <w:vAlign w:val="center"/>
          </w:tcPr>
          <w:p w14:paraId="5313D2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c>
          <w:tcPr>
            <w:tcW w:w="788" w:type="dxa"/>
            <w:shd w:val="clear" w:color="auto" w:fill="FFFFFF"/>
            <w:vAlign w:val="center"/>
          </w:tcPr>
          <w:p w14:paraId="1B5C5604">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88" w:type="dxa"/>
            <w:shd w:val="clear" w:color="auto" w:fill="FFFFFF"/>
            <w:vAlign w:val="center"/>
          </w:tcPr>
          <w:p w14:paraId="37CBCA09">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8" w:type="dxa"/>
            <w:shd w:val="clear" w:color="auto" w:fill="FFFFFF"/>
            <w:vAlign w:val="center"/>
          </w:tcPr>
          <w:p w14:paraId="502D76CF">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33" w:type="dxa"/>
            <w:shd w:val="clear" w:color="auto" w:fill="FFFFFF"/>
            <w:vAlign w:val="center"/>
          </w:tcPr>
          <w:p w14:paraId="3677E990">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C04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35" w:type="dxa"/>
            <w:shd w:val="clear" w:color="auto" w:fill="FFFFFF"/>
            <w:vAlign w:val="center"/>
          </w:tcPr>
          <w:p w14:paraId="27513D8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1583" w:type="dxa"/>
            <w:shd w:val="clear" w:color="auto" w:fill="FFFFFF"/>
            <w:vAlign w:val="center"/>
          </w:tcPr>
          <w:p w14:paraId="2FB5969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不锈钢双眼蔬菜池</w:t>
            </w:r>
          </w:p>
        </w:tc>
        <w:tc>
          <w:tcPr>
            <w:tcW w:w="1302" w:type="dxa"/>
            <w:shd w:val="clear" w:color="auto" w:fill="FFFFFF"/>
            <w:vAlign w:val="center"/>
          </w:tcPr>
          <w:p w14:paraId="5841B06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1500*750*800</w:t>
            </w:r>
          </w:p>
        </w:tc>
        <w:tc>
          <w:tcPr>
            <w:tcW w:w="6198" w:type="dxa"/>
            <w:shd w:val="clear" w:color="auto" w:fill="FFFFFF"/>
            <w:vAlign w:val="center"/>
          </w:tcPr>
          <w:p w14:paraId="6EA97667">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材采用SUS304不锈钢板，台面板、水斗采用1.2mm不锈钢板制作，水斗采用放样折边焊接而成，深度350mm，沥水器用防臭沥水器。四根脚管采用φ38*1.2mm不锈钢管，脚用不锈钢可调整脚，水池带后背，后背高为150mm，宽为50mm。</w:t>
            </w:r>
          </w:p>
        </w:tc>
        <w:tc>
          <w:tcPr>
            <w:tcW w:w="1258" w:type="dxa"/>
            <w:shd w:val="clear" w:color="auto" w:fill="FFFFFF"/>
            <w:vAlign w:val="center"/>
          </w:tcPr>
          <w:p w14:paraId="5E05B6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88" w:type="dxa"/>
            <w:shd w:val="clear" w:color="auto" w:fill="FFFFFF"/>
            <w:vAlign w:val="center"/>
          </w:tcPr>
          <w:p w14:paraId="586D78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88" w:type="dxa"/>
            <w:shd w:val="clear" w:color="auto" w:fill="FFFFFF"/>
            <w:vAlign w:val="center"/>
          </w:tcPr>
          <w:p w14:paraId="16FA2435">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8" w:type="dxa"/>
            <w:shd w:val="clear" w:color="auto" w:fill="FFFFFF"/>
            <w:vAlign w:val="center"/>
          </w:tcPr>
          <w:p w14:paraId="1555042C">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33" w:type="dxa"/>
            <w:shd w:val="clear" w:color="auto" w:fill="FFFFFF"/>
            <w:vAlign w:val="center"/>
          </w:tcPr>
          <w:p w14:paraId="45504DAB">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7D3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35" w:type="dxa"/>
            <w:shd w:val="clear" w:color="auto" w:fill="FFFFFF"/>
            <w:vAlign w:val="center"/>
          </w:tcPr>
          <w:p w14:paraId="41EBC13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p>
        </w:tc>
        <w:tc>
          <w:tcPr>
            <w:tcW w:w="1583" w:type="dxa"/>
            <w:shd w:val="clear" w:color="auto" w:fill="FFFFFF"/>
            <w:vAlign w:val="center"/>
          </w:tcPr>
          <w:p w14:paraId="46E9E80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平台水池</w:t>
            </w:r>
          </w:p>
        </w:tc>
        <w:tc>
          <w:tcPr>
            <w:tcW w:w="1302" w:type="dxa"/>
            <w:shd w:val="clear" w:color="auto" w:fill="FFFFFF"/>
            <w:vAlign w:val="center"/>
          </w:tcPr>
          <w:p w14:paraId="5D5683B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1200*600*800</w:t>
            </w:r>
          </w:p>
        </w:tc>
        <w:tc>
          <w:tcPr>
            <w:tcW w:w="6198" w:type="dxa"/>
            <w:shd w:val="clear" w:color="auto" w:fill="FFFFFF"/>
            <w:vAlign w:val="center"/>
          </w:tcPr>
          <w:p w14:paraId="513655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主材采用SUS304不锈钢板， 右平台，台面板、水斗采用1.2mm不锈钢板制作，水斗采用放样折边焊接而成，深度300，沥水器用防臭沥水器。四根脚管采用φ38*1.2mm不锈钢管，脚用不锈钢可调整脚，水池带后背，后背高为150mm，宽为50mm。煮面过水用</w:t>
            </w:r>
          </w:p>
        </w:tc>
        <w:tc>
          <w:tcPr>
            <w:tcW w:w="1258" w:type="dxa"/>
            <w:shd w:val="clear" w:color="auto" w:fill="FFFFFF"/>
            <w:vAlign w:val="center"/>
          </w:tcPr>
          <w:p w14:paraId="69A315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88" w:type="dxa"/>
            <w:shd w:val="clear" w:color="auto" w:fill="FFFFFF"/>
            <w:vAlign w:val="center"/>
          </w:tcPr>
          <w:p w14:paraId="129CD6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88" w:type="dxa"/>
            <w:shd w:val="clear" w:color="auto" w:fill="FFFFFF"/>
            <w:vAlign w:val="center"/>
          </w:tcPr>
          <w:p w14:paraId="3A167981">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8" w:type="dxa"/>
            <w:shd w:val="clear" w:color="auto" w:fill="FFFFFF"/>
            <w:vAlign w:val="center"/>
          </w:tcPr>
          <w:p w14:paraId="2C613B0E">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33" w:type="dxa"/>
            <w:shd w:val="clear" w:color="auto" w:fill="FFFFFF"/>
            <w:vAlign w:val="center"/>
          </w:tcPr>
          <w:p w14:paraId="07A2DD49">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362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535" w:type="dxa"/>
            <w:shd w:val="clear" w:color="auto" w:fill="FFFFFF"/>
            <w:vAlign w:val="center"/>
          </w:tcPr>
          <w:p w14:paraId="7D51AD0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p>
        </w:tc>
        <w:tc>
          <w:tcPr>
            <w:tcW w:w="1583" w:type="dxa"/>
            <w:shd w:val="clear" w:color="auto" w:fill="FFFFFF"/>
            <w:vAlign w:val="center"/>
          </w:tcPr>
          <w:p w14:paraId="4DBAABB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电导热油汤粥炉</w:t>
            </w:r>
          </w:p>
        </w:tc>
        <w:tc>
          <w:tcPr>
            <w:tcW w:w="1302" w:type="dxa"/>
            <w:shd w:val="clear" w:color="auto" w:fill="FFFFFF"/>
            <w:vAlign w:val="center"/>
          </w:tcPr>
          <w:p w14:paraId="20ABA85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730*580*960</w:t>
            </w:r>
          </w:p>
        </w:tc>
        <w:tc>
          <w:tcPr>
            <w:tcW w:w="6198" w:type="dxa"/>
            <w:shd w:val="clear" w:color="auto" w:fill="FFFFFF"/>
            <w:vAlign w:val="center"/>
          </w:tcPr>
          <w:p w14:paraId="1A2EA5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内胆304，直径500，容量100L,功率380V9KW ，可以预约</w:t>
            </w:r>
          </w:p>
        </w:tc>
        <w:tc>
          <w:tcPr>
            <w:tcW w:w="1258" w:type="dxa"/>
            <w:shd w:val="clear" w:color="auto" w:fill="FFFFFF"/>
            <w:vAlign w:val="center"/>
          </w:tcPr>
          <w:p w14:paraId="700C53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788" w:type="dxa"/>
            <w:shd w:val="clear" w:color="auto" w:fill="FFFFFF"/>
            <w:vAlign w:val="center"/>
          </w:tcPr>
          <w:p w14:paraId="034AC3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88" w:type="dxa"/>
            <w:shd w:val="clear" w:color="auto" w:fill="FFFFFF"/>
            <w:vAlign w:val="center"/>
          </w:tcPr>
          <w:p w14:paraId="64381B29">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8" w:type="dxa"/>
            <w:shd w:val="clear" w:color="auto" w:fill="FFFFFF"/>
            <w:vAlign w:val="center"/>
          </w:tcPr>
          <w:p w14:paraId="25DDE4DE">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33" w:type="dxa"/>
            <w:shd w:val="clear" w:color="auto" w:fill="FFFFFF"/>
            <w:vAlign w:val="center"/>
          </w:tcPr>
          <w:p w14:paraId="10F7C352">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B28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35" w:type="dxa"/>
            <w:shd w:val="clear" w:color="auto" w:fill="FFFFFF"/>
            <w:vAlign w:val="center"/>
          </w:tcPr>
          <w:p w14:paraId="4FF3F8A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w:t>
            </w:r>
          </w:p>
        </w:tc>
        <w:tc>
          <w:tcPr>
            <w:tcW w:w="1583" w:type="dxa"/>
            <w:shd w:val="clear" w:color="auto" w:fill="FFFFFF"/>
            <w:vAlign w:val="center"/>
          </w:tcPr>
          <w:p w14:paraId="117FD41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挂墙开水炉及底座</w:t>
            </w:r>
          </w:p>
        </w:tc>
        <w:tc>
          <w:tcPr>
            <w:tcW w:w="1302" w:type="dxa"/>
            <w:shd w:val="clear" w:color="auto" w:fill="FFFFFF"/>
            <w:vAlign w:val="center"/>
          </w:tcPr>
          <w:p w14:paraId="5902230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380V12KW</w:t>
            </w:r>
          </w:p>
        </w:tc>
        <w:tc>
          <w:tcPr>
            <w:tcW w:w="6198" w:type="dxa"/>
            <w:shd w:val="clear" w:color="auto" w:fill="FFFFFF"/>
            <w:vAlign w:val="center"/>
          </w:tcPr>
          <w:p w14:paraId="7AD2FA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采用SUS304食用级不锈钢板，带浮球缺水自动加水防止干烧</w:t>
            </w:r>
            <w:r>
              <w:rPr>
                <w:rFonts w:hint="eastAsia" w:ascii="宋体" w:hAnsi="宋体" w:eastAsia="宋体" w:cs="宋体"/>
                <w:i w:val="0"/>
                <w:iCs w:val="0"/>
                <w:color w:val="000000"/>
                <w:kern w:val="0"/>
                <w:sz w:val="22"/>
                <w:szCs w:val="22"/>
                <w:highlight w:val="none"/>
                <w:u w:val="none"/>
                <w:lang w:val="en-US" w:eastAsia="zh-CN" w:bidi="ar"/>
              </w:rPr>
              <w:t xml:space="preserve"> 采用SUS304食用级不锈钢板，带浮球缺水自动加水防止干烧</w:t>
            </w:r>
            <w:r>
              <w:rPr>
                <w:rFonts w:hint="eastAsia" w:ascii="宋体" w:hAnsi="宋体" w:cs="宋体"/>
                <w:i w:val="0"/>
                <w:iCs w:val="0"/>
                <w:color w:val="000000"/>
                <w:kern w:val="0"/>
                <w:sz w:val="22"/>
                <w:szCs w:val="22"/>
                <w:highlight w:val="none"/>
                <w:u w:val="none"/>
                <w:lang w:val="en-US" w:eastAsia="zh-CN" w:bidi="ar"/>
              </w:rPr>
              <w:t>。</w:t>
            </w:r>
          </w:p>
        </w:tc>
        <w:tc>
          <w:tcPr>
            <w:tcW w:w="1258" w:type="dxa"/>
            <w:shd w:val="clear" w:color="auto" w:fill="FFFFFF"/>
            <w:vAlign w:val="center"/>
          </w:tcPr>
          <w:p w14:paraId="4D1BCB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788" w:type="dxa"/>
            <w:shd w:val="clear" w:color="auto" w:fill="FFFFFF"/>
            <w:vAlign w:val="center"/>
          </w:tcPr>
          <w:p w14:paraId="224471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88" w:type="dxa"/>
            <w:shd w:val="clear" w:color="auto" w:fill="FFFFFF"/>
            <w:vAlign w:val="center"/>
          </w:tcPr>
          <w:p w14:paraId="4F1BB155">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8" w:type="dxa"/>
            <w:shd w:val="clear" w:color="auto" w:fill="FFFFFF"/>
            <w:vAlign w:val="center"/>
          </w:tcPr>
          <w:p w14:paraId="28F2CE9A">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33" w:type="dxa"/>
            <w:shd w:val="clear" w:color="auto" w:fill="FFFFFF"/>
            <w:vAlign w:val="center"/>
          </w:tcPr>
          <w:p w14:paraId="5832A228">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09B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6" w:hRule="atLeast"/>
        </w:trPr>
        <w:tc>
          <w:tcPr>
            <w:tcW w:w="535" w:type="dxa"/>
            <w:shd w:val="clear" w:color="auto" w:fill="FFFFFF"/>
            <w:vAlign w:val="center"/>
          </w:tcPr>
          <w:p w14:paraId="548DE17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7</w:t>
            </w:r>
          </w:p>
        </w:tc>
        <w:tc>
          <w:tcPr>
            <w:tcW w:w="1583" w:type="dxa"/>
            <w:shd w:val="clear" w:color="auto" w:fill="FFFFFF"/>
            <w:vAlign w:val="center"/>
          </w:tcPr>
          <w:p w14:paraId="4C6FF6B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电磁汤面炉 </w:t>
            </w:r>
          </w:p>
        </w:tc>
        <w:tc>
          <w:tcPr>
            <w:tcW w:w="1302" w:type="dxa"/>
            <w:shd w:val="clear" w:color="auto" w:fill="FFFFFF"/>
            <w:vAlign w:val="center"/>
          </w:tcPr>
          <w:p w14:paraId="37E3115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380V/12KW</w:t>
            </w:r>
          </w:p>
        </w:tc>
        <w:tc>
          <w:tcPr>
            <w:tcW w:w="6198" w:type="dxa"/>
            <w:shd w:val="clear" w:color="auto" w:fill="FFFFFF"/>
            <w:vAlign w:val="center"/>
          </w:tcPr>
          <w:p w14:paraId="74119E3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1.额定电压：380V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2.功率：12KW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3.用料：采用优质不锈钢板材制作、面板采用1.5mm不锈钢板一体冲压成型，防水易清洁，侧前、靠背板采用1.0mm，坚固耐用。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采用密绕全铜聚能线圈，电能转换更加高效，热效率高达90%，采用技术先进领先的GBT模块设计，运行速度高，耐反高电压，工作电流大，性能稳定，采用食品级不锈钢结构设计具有防水、防油烟、防漏电等多重安全保护；智能控制盒设计,火力自动调节,大功率输出,超强大功率输出直流风机,排风散热集中，比普通燃气/油灶节能50%，无明火，无烟尘，无废气，优化厨房环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5.机械旋转式8档档位开关，精细化火力分布设计，满足厨师的火力精准需求</w:t>
            </w:r>
            <w:r>
              <w:rPr>
                <w:rFonts w:hint="eastAsia" w:ascii="宋体" w:hAnsi="宋体" w:eastAsia="宋体" w:cs="宋体"/>
                <w:i w:val="0"/>
                <w:iCs w:val="0"/>
                <w:color w:val="0000FF"/>
                <w:kern w:val="0"/>
                <w:sz w:val="21"/>
                <w:szCs w:val="21"/>
                <w:highlight w:val="none"/>
                <w:u w:val="none"/>
                <w:lang w:val="en-US" w:eastAsia="zh-CN" w:bidi="ar"/>
              </w:rPr>
              <w:t xml:space="preserve">                                                       </w:t>
            </w:r>
          </w:p>
        </w:tc>
        <w:tc>
          <w:tcPr>
            <w:tcW w:w="1258" w:type="dxa"/>
            <w:shd w:val="clear" w:color="auto" w:fill="FFFFFF"/>
            <w:vAlign w:val="center"/>
          </w:tcPr>
          <w:p w14:paraId="7B35CD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788" w:type="dxa"/>
            <w:shd w:val="clear" w:color="auto" w:fill="FFFFFF"/>
            <w:vAlign w:val="center"/>
          </w:tcPr>
          <w:p w14:paraId="2A76AA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88" w:type="dxa"/>
            <w:shd w:val="clear" w:color="auto" w:fill="FFFFFF"/>
            <w:vAlign w:val="center"/>
          </w:tcPr>
          <w:p w14:paraId="13850A5B">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8" w:type="dxa"/>
            <w:shd w:val="clear" w:color="auto" w:fill="FFFFFF"/>
            <w:vAlign w:val="center"/>
          </w:tcPr>
          <w:p w14:paraId="0160724C">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33" w:type="dxa"/>
            <w:shd w:val="clear" w:color="auto" w:fill="FFFFFF"/>
            <w:vAlign w:val="center"/>
          </w:tcPr>
          <w:p w14:paraId="78DB6279">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EF8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2" w:hRule="atLeast"/>
        </w:trPr>
        <w:tc>
          <w:tcPr>
            <w:tcW w:w="535" w:type="dxa"/>
            <w:shd w:val="clear" w:color="auto" w:fill="FFFFFF"/>
            <w:vAlign w:val="center"/>
          </w:tcPr>
          <w:p w14:paraId="1348F09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8</w:t>
            </w:r>
          </w:p>
        </w:tc>
        <w:tc>
          <w:tcPr>
            <w:tcW w:w="1583" w:type="dxa"/>
            <w:shd w:val="clear" w:color="auto" w:fill="FFFFFF"/>
            <w:vAlign w:val="center"/>
          </w:tcPr>
          <w:p w14:paraId="4C6D5FF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★电烤箱（两层四盘落地烤箱）</w:t>
            </w:r>
          </w:p>
        </w:tc>
        <w:tc>
          <w:tcPr>
            <w:tcW w:w="1302" w:type="dxa"/>
            <w:shd w:val="clear" w:color="auto" w:fill="FFFFFF"/>
            <w:vAlign w:val="center"/>
          </w:tcPr>
          <w:p w14:paraId="1646B5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1240*855*1255  </w:t>
            </w:r>
          </w:p>
        </w:tc>
        <w:tc>
          <w:tcPr>
            <w:tcW w:w="6198" w:type="dxa"/>
            <w:shd w:val="clear" w:color="auto" w:fill="FFFFFF"/>
            <w:vAlign w:val="center"/>
          </w:tcPr>
          <w:p w14:paraId="1DCBCBD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温度可调节范围：室温～400℃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控制方式：智能上下独立控温，380V13.2KW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产品尺寸：1240*855*1255(mm)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内膛尺寸：870*650*210（mm）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单次加工盘数：4盘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机器重量：148kg                                                                                                                                                           </w:t>
            </w:r>
          </w:p>
        </w:tc>
        <w:tc>
          <w:tcPr>
            <w:tcW w:w="1258" w:type="dxa"/>
            <w:shd w:val="clear" w:color="auto" w:fill="FFFFFF"/>
            <w:vAlign w:val="center"/>
          </w:tcPr>
          <w:p w14:paraId="16834BC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788" w:type="dxa"/>
            <w:shd w:val="clear" w:color="auto" w:fill="FFFFFF"/>
            <w:vAlign w:val="center"/>
          </w:tcPr>
          <w:p w14:paraId="4FAAB4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88" w:type="dxa"/>
            <w:shd w:val="clear" w:color="auto" w:fill="FFFFFF"/>
            <w:vAlign w:val="center"/>
          </w:tcPr>
          <w:p w14:paraId="70EF055C">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8" w:type="dxa"/>
            <w:shd w:val="clear" w:color="auto" w:fill="FFFFFF"/>
            <w:vAlign w:val="center"/>
          </w:tcPr>
          <w:p w14:paraId="46D22817">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33" w:type="dxa"/>
            <w:shd w:val="clear" w:color="auto" w:fill="FFFFFF"/>
            <w:vAlign w:val="center"/>
          </w:tcPr>
          <w:p w14:paraId="6A2EE601">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7B1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3" w:hRule="atLeast"/>
        </w:trPr>
        <w:tc>
          <w:tcPr>
            <w:tcW w:w="535" w:type="dxa"/>
            <w:shd w:val="clear" w:color="auto" w:fill="FFFFFF"/>
            <w:vAlign w:val="center"/>
          </w:tcPr>
          <w:p w14:paraId="69505B7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p>
        </w:tc>
        <w:tc>
          <w:tcPr>
            <w:tcW w:w="1583" w:type="dxa"/>
            <w:shd w:val="clear" w:color="auto" w:fill="FFFFFF"/>
            <w:vAlign w:val="center"/>
          </w:tcPr>
          <w:p w14:paraId="054B04B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冷冻冷库</w:t>
            </w:r>
          </w:p>
        </w:tc>
        <w:tc>
          <w:tcPr>
            <w:tcW w:w="1302" w:type="dxa"/>
            <w:shd w:val="clear" w:color="auto" w:fill="FFFFFF"/>
            <w:vAlign w:val="center"/>
          </w:tcPr>
          <w:p w14:paraId="697CEF0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4000*3000*2800</w:t>
            </w:r>
          </w:p>
        </w:tc>
        <w:tc>
          <w:tcPr>
            <w:tcW w:w="6198" w:type="dxa"/>
            <w:shd w:val="clear" w:color="auto" w:fill="FFFFFF"/>
            <w:vAlign w:val="center"/>
          </w:tcPr>
          <w:p w14:paraId="6454927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冷库外尺寸大小(单位m) 4 宽 ： 3 高 ： 2.8 总立方数：33.6m³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2、冷库温度：-18°冷冻温度可调节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3、库体结构：聚氨酯外面彩钢，里面304不锈钢板，装配式冷库6面体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4、最大功率(额定):4KW/h(1P功率0.735KW/H 4P*0.735+风冷蒸发器2*0.2KW/h=最大功率4KW/h)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具体做法：A、库板：冷库库板与库板的连接使用定制凸轮式偏心勾锁快速自锁扣安装；系统对化学品稳定而且达到国家洁净卫生标准，库内外表面平整光滑，所有冷库接缝处采用聚氯乙烯密封胶条，确保冷库的气密性，其防渗水性能使库板可以用喷水器清。</w:t>
            </w:r>
            <w:r>
              <w:rPr>
                <w:rFonts w:hint="eastAsia" w:ascii="宋体" w:hAnsi="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B、库板厚度：100mm内外层表面金属材料均选用304不锈钢单面库板0.6mm聚氨酯夹芯板，聚氨酯密度密度标准≥38±2㎏/m³。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E、平掩门门洞参考尺寸为：800*1900H/MM；门和墙板平滑连接，不外凸。</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F、冷库门门框为单身门框而不带冷桥，镶嵌耐低温的磁性密封胶条，具有良好的弹性和耐磨性，能防止发霉，表面光洁，不藏污纳垢，易清洁。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G、冷库门框均配置发热线(220V/1/50Hz)以防结露，门框发热线凹槽为可拆卸式，方便发热线更换。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J、冷库的灯开关必须嵌入式安装在门框上，防水等级达到 IP67，LED 环形光圈指示灯以方便在库外查看库灯的开闭，防腐耐压。中心高度离 完成地面≤1500MM,所有的管线必须安装在门板框内,不能外露。</w:t>
            </w:r>
            <w:r>
              <w:rPr>
                <w:rFonts w:hint="eastAsia" w:ascii="宋体" w:hAnsi="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I、冷冻库温度范围：-13~-18℃；冷藏库温度范围：0~8℃。</w:t>
            </w:r>
          </w:p>
        </w:tc>
        <w:tc>
          <w:tcPr>
            <w:tcW w:w="1258" w:type="dxa"/>
            <w:shd w:val="clear" w:color="auto" w:fill="FFFFFF"/>
            <w:vAlign w:val="center"/>
          </w:tcPr>
          <w:p w14:paraId="6BA4E2E1">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788" w:type="dxa"/>
            <w:shd w:val="clear" w:color="auto" w:fill="FFFFFF"/>
            <w:vAlign w:val="center"/>
          </w:tcPr>
          <w:p w14:paraId="0EA170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88" w:type="dxa"/>
            <w:shd w:val="clear" w:color="auto" w:fill="FFFFFF"/>
            <w:vAlign w:val="center"/>
          </w:tcPr>
          <w:p w14:paraId="46142BE0">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8" w:type="dxa"/>
            <w:shd w:val="clear" w:color="auto" w:fill="FFFFFF"/>
            <w:vAlign w:val="center"/>
          </w:tcPr>
          <w:p w14:paraId="5A41BED2">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33" w:type="dxa"/>
            <w:shd w:val="clear" w:color="auto" w:fill="FFFFFF"/>
            <w:vAlign w:val="center"/>
          </w:tcPr>
          <w:p w14:paraId="3CAF0E5D">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510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2" w:hRule="atLeast"/>
        </w:trPr>
        <w:tc>
          <w:tcPr>
            <w:tcW w:w="535" w:type="dxa"/>
            <w:shd w:val="clear" w:color="auto" w:fill="FFFFFF"/>
            <w:vAlign w:val="center"/>
          </w:tcPr>
          <w:p w14:paraId="65839BB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w:t>
            </w:r>
          </w:p>
        </w:tc>
        <w:tc>
          <w:tcPr>
            <w:tcW w:w="1583" w:type="dxa"/>
            <w:shd w:val="clear" w:color="auto" w:fill="FFFFFF"/>
            <w:vAlign w:val="center"/>
          </w:tcPr>
          <w:p w14:paraId="258657C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冷库货架</w:t>
            </w:r>
          </w:p>
        </w:tc>
        <w:tc>
          <w:tcPr>
            <w:tcW w:w="1302" w:type="dxa"/>
            <w:shd w:val="clear" w:color="auto" w:fill="FFFFFF"/>
            <w:vAlign w:val="center"/>
          </w:tcPr>
          <w:p w14:paraId="4538685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1200*500*1800</w:t>
            </w:r>
          </w:p>
        </w:tc>
        <w:tc>
          <w:tcPr>
            <w:tcW w:w="6198" w:type="dxa"/>
            <w:shd w:val="clear" w:color="auto" w:fill="FFFFFF"/>
            <w:vAlign w:val="center"/>
          </w:tcPr>
          <w:p w14:paraId="7976CCA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采用SUS304#不锈钢拉丝板，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1、层板全部为1.2mm厚不锈钢结构，满足卫生和清洁要求；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2、货架体与货架层板的连接点均焊接抛光；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3、货架层板底部采用加强筋，厚度为1.0mm；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4、货架体采用φ38㎜×1.2mm厚不锈钢圆管；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5、配不锈钢可调节子弹脚。</w:t>
            </w:r>
          </w:p>
        </w:tc>
        <w:tc>
          <w:tcPr>
            <w:tcW w:w="1258" w:type="dxa"/>
            <w:shd w:val="clear" w:color="auto" w:fill="FFFFFF"/>
            <w:vAlign w:val="center"/>
          </w:tcPr>
          <w:p w14:paraId="3FB6DD5C">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c>
          <w:tcPr>
            <w:tcW w:w="788" w:type="dxa"/>
            <w:shd w:val="clear" w:color="auto" w:fill="FFFFFF"/>
            <w:vAlign w:val="center"/>
          </w:tcPr>
          <w:p w14:paraId="774E37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88" w:type="dxa"/>
            <w:shd w:val="clear" w:color="auto" w:fill="FFFFFF"/>
            <w:vAlign w:val="center"/>
          </w:tcPr>
          <w:p w14:paraId="28C09BF2">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8" w:type="dxa"/>
            <w:shd w:val="clear" w:color="auto" w:fill="FFFFFF"/>
            <w:vAlign w:val="center"/>
          </w:tcPr>
          <w:p w14:paraId="70CAB370">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33" w:type="dxa"/>
            <w:shd w:val="clear" w:color="auto" w:fill="FFFFFF"/>
            <w:vAlign w:val="center"/>
          </w:tcPr>
          <w:p w14:paraId="30882419">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A20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35" w:type="dxa"/>
            <w:shd w:val="clear" w:color="auto" w:fill="FFFFFF"/>
            <w:vAlign w:val="center"/>
          </w:tcPr>
          <w:p w14:paraId="6462A66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11</w:t>
            </w:r>
          </w:p>
        </w:tc>
        <w:tc>
          <w:tcPr>
            <w:tcW w:w="1583" w:type="dxa"/>
            <w:shd w:val="clear" w:color="auto" w:fill="FFFFFF"/>
            <w:vAlign w:val="center"/>
          </w:tcPr>
          <w:p w14:paraId="113B81E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全自动豆浆机</w:t>
            </w:r>
          </w:p>
        </w:tc>
        <w:tc>
          <w:tcPr>
            <w:tcW w:w="1302" w:type="dxa"/>
            <w:shd w:val="clear" w:color="auto" w:fill="FFFFFF"/>
            <w:vAlign w:val="center"/>
          </w:tcPr>
          <w:p w14:paraId="729D2F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w:t>
            </w:r>
          </w:p>
        </w:tc>
        <w:tc>
          <w:tcPr>
            <w:tcW w:w="6198" w:type="dxa"/>
            <w:shd w:val="clear" w:color="auto" w:fill="auto"/>
            <w:noWrap/>
            <w:vAlign w:val="center"/>
          </w:tcPr>
          <w:p w14:paraId="4B78BE6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渣浆分离豆浆机，底盘加热，内置滤网，预约功能</w:t>
            </w:r>
          </w:p>
        </w:tc>
        <w:tc>
          <w:tcPr>
            <w:tcW w:w="1258" w:type="dxa"/>
            <w:shd w:val="clear" w:color="auto" w:fill="FFFFFF"/>
            <w:vAlign w:val="center"/>
          </w:tcPr>
          <w:p w14:paraId="11DDCF7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88" w:type="dxa"/>
            <w:shd w:val="clear" w:color="auto" w:fill="FFFFFF"/>
            <w:vAlign w:val="center"/>
          </w:tcPr>
          <w:p w14:paraId="2F0F0C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88" w:type="dxa"/>
            <w:shd w:val="clear" w:color="auto" w:fill="FFFFFF"/>
            <w:vAlign w:val="center"/>
          </w:tcPr>
          <w:p w14:paraId="7DF98C27">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8" w:type="dxa"/>
            <w:shd w:val="clear" w:color="auto" w:fill="FFFFFF"/>
            <w:vAlign w:val="center"/>
          </w:tcPr>
          <w:p w14:paraId="5A1C474B">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33" w:type="dxa"/>
            <w:shd w:val="clear" w:color="auto" w:fill="FFFFFF"/>
            <w:vAlign w:val="center"/>
          </w:tcPr>
          <w:p w14:paraId="53933F3C">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F13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35" w:type="dxa"/>
            <w:shd w:val="clear" w:color="auto" w:fill="FFFFFF"/>
            <w:vAlign w:val="center"/>
          </w:tcPr>
          <w:p w14:paraId="1960FA6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12</w:t>
            </w:r>
          </w:p>
        </w:tc>
        <w:tc>
          <w:tcPr>
            <w:tcW w:w="1583" w:type="dxa"/>
            <w:shd w:val="clear" w:color="auto" w:fill="FFFFFF"/>
            <w:vAlign w:val="center"/>
          </w:tcPr>
          <w:p w14:paraId="7F70C1F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电饭锅</w:t>
            </w:r>
          </w:p>
        </w:tc>
        <w:tc>
          <w:tcPr>
            <w:tcW w:w="1302" w:type="dxa"/>
            <w:shd w:val="clear" w:color="auto" w:fill="FFFFFF"/>
            <w:vAlign w:val="center"/>
          </w:tcPr>
          <w:p w14:paraId="389DAA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5L</w:t>
            </w:r>
          </w:p>
        </w:tc>
        <w:tc>
          <w:tcPr>
            <w:tcW w:w="6198" w:type="dxa"/>
            <w:shd w:val="clear" w:color="auto" w:fill="FFFFFF"/>
            <w:vAlign w:val="center"/>
          </w:tcPr>
          <w:p w14:paraId="26E31B5B">
            <w:pPr>
              <w:jc w:val="both"/>
              <w:rPr>
                <w:rFonts w:hint="eastAsia" w:ascii="宋体" w:hAnsi="宋体" w:eastAsia="宋体" w:cs="宋体"/>
                <w:i w:val="0"/>
                <w:iCs w:val="0"/>
                <w:color w:val="000000"/>
                <w:sz w:val="21"/>
                <w:szCs w:val="21"/>
                <w:highlight w:val="none"/>
                <w:u w:val="none"/>
              </w:rPr>
            </w:pPr>
          </w:p>
        </w:tc>
        <w:tc>
          <w:tcPr>
            <w:tcW w:w="1258" w:type="dxa"/>
            <w:shd w:val="clear" w:color="auto" w:fill="FFFFFF"/>
            <w:vAlign w:val="center"/>
          </w:tcPr>
          <w:p w14:paraId="1766F674">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88" w:type="dxa"/>
            <w:shd w:val="clear" w:color="auto" w:fill="FFFFFF"/>
            <w:vAlign w:val="center"/>
          </w:tcPr>
          <w:p w14:paraId="0F195F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88" w:type="dxa"/>
            <w:shd w:val="clear" w:color="auto" w:fill="FFFFFF"/>
            <w:vAlign w:val="center"/>
          </w:tcPr>
          <w:p w14:paraId="67BD01F4">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8" w:type="dxa"/>
            <w:shd w:val="clear" w:color="auto" w:fill="FFFFFF"/>
            <w:vAlign w:val="center"/>
          </w:tcPr>
          <w:p w14:paraId="6C63D9D9">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33" w:type="dxa"/>
            <w:shd w:val="clear" w:color="auto" w:fill="FFFFFF"/>
            <w:vAlign w:val="center"/>
          </w:tcPr>
          <w:p w14:paraId="2719230B">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890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535" w:type="dxa"/>
            <w:shd w:val="clear" w:color="auto" w:fill="FFFFFF"/>
            <w:vAlign w:val="center"/>
          </w:tcPr>
          <w:p w14:paraId="4B6384E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13</w:t>
            </w:r>
          </w:p>
        </w:tc>
        <w:tc>
          <w:tcPr>
            <w:tcW w:w="1583" w:type="dxa"/>
            <w:shd w:val="clear" w:color="auto" w:fill="FFFFFF"/>
            <w:vAlign w:val="center"/>
          </w:tcPr>
          <w:p w14:paraId="017F933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调味推车</w:t>
            </w:r>
          </w:p>
        </w:tc>
        <w:tc>
          <w:tcPr>
            <w:tcW w:w="1302" w:type="dxa"/>
            <w:shd w:val="clear" w:color="auto" w:fill="FFFFFF"/>
            <w:vAlign w:val="center"/>
          </w:tcPr>
          <w:p w14:paraId="49DB04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500*800*800</w:t>
            </w:r>
          </w:p>
        </w:tc>
        <w:tc>
          <w:tcPr>
            <w:tcW w:w="6198" w:type="dxa"/>
            <w:shd w:val="clear" w:color="auto" w:fill="auto"/>
            <w:vAlign w:val="center"/>
          </w:tcPr>
          <w:p w14:paraId="6B418CA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采用SUS304不锈钢：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1、车架采用δ1.0*30*30mm不锈钢方管；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2、车体采用1.0mm不锈钢板；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3、车盖采用δ1.0mm不锈钢板；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4、配4只进口脚轮，2只带刹车製动</w:t>
            </w:r>
          </w:p>
        </w:tc>
        <w:tc>
          <w:tcPr>
            <w:tcW w:w="1258" w:type="dxa"/>
            <w:shd w:val="clear" w:color="auto" w:fill="FFFFFF"/>
            <w:vAlign w:val="center"/>
          </w:tcPr>
          <w:p w14:paraId="7515499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辆</w:t>
            </w:r>
          </w:p>
        </w:tc>
        <w:tc>
          <w:tcPr>
            <w:tcW w:w="788" w:type="dxa"/>
            <w:shd w:val="clear" w:color="auto" w:fill="FFFFFF"/>
            <w:vAlign w:val="center"/>
          </w:tcPr>
          <w:p w14:paraId="28495E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88" w:type="dxa"/>
            <w:shd w:val="clear" w:color="auto" w:fill="FFFFFF"/>
            <w:vAlign w:val="center"/>
          </w:tcPr>
          <w:p w14:paraId="2FC13FFB">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8" w:type="dxa"/>
            <w:shd w:val="clear" w:color="auto" w:fill="FFFFFF"/>
            <w:vAlign w:val="center"/>
          </w:tcPr>
          <w:p w14:paraId="3E05AC51">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33" w:type="dxa"/>
            <w:shd w:val="clear" w:color="auto" w:fill="FFFFFF"/>
            <w:vAlign w:val="center"/>
          </w:tcPr>
          <w:p w14:paraId="03BA70F1">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14F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35" w:type="dxa"/>
            <w:shd w:val="clear" w:color="auto" w:fill="FFFFFF"/>
            <w:vAlign w:val="center"/>
          </w:tcPr>
          <w:p w14:paraId="48F8F51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14</w:t>
            </w:r>
          </w:p>
        </w:tc>
        <w:tc>
          <w:tcPr>
            <w:tcW w:w="1583" w:type="dxa"/>
            <w:shd w:val="clear" w:color="auto" w:fill="FFFFFF"/>
            <w:vAlign w:val="center"/>
          </w:tcPr>
          <w:p w14:paraId="368862A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冷水龙头</w:t>
            </w:r>
          </w:p>
        </w:tc>
        <w:tc>
          <w:tcPr>
            <w:tcW w:w="1302" w:type="dxa"/>
            <w:shd w:val="clear" w:color="auto" w:fill="FFFFFF"/>
            <w:vAlign w:val="center"/>
          </w:tcPr>
          <w:p w14:paraId="30C5CDB0">
            <w:pPr>
              <w:jc w:val="center"/>
              <w:rPr>
                <w:rFonts w:hint="eastAsia" w:ascii="宋体" w:hAnsi="宋体" w:eastAsia="宋体" w:cs="宋体"/>
                <w:i w:val="0"/>
                <w:iCs w:val="0"/>
                <w:color w:val="000000"/>
                <w:sz w:val="21"/>
                <w:szCs w:val="21"/>
                <w:highlight w:val="none"/>
                <w:u w:val="none"/>
              </w:rPr>
            </w:pPr>
          </w:p>
        </w:tc>
        <w:tc>
          <w:tcPr>
            <w:tcW w:w="6198" w:type="dxa"/>
            <w:shd w:val="clear" w:color="auto" w:fill="auto"/>
            <w:noWrap/>
            <w:vAlign w:val="center"/>
          </w:tcPr>
          <w:p w14:paraId="6C90CFC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w:t>
            </w:r>
          </w:p>
        </w:tc>
        <w:tc>
          <w:tcPr>
            <w:tcW w:w="1258" w:type="dxa"/>
            <w:shd w:val="clear" w:color="auto" w:fill="FFFFFF"/>
            <w:vAlign w:val="center"/>
          </w:tcPr>
          <w:p w14:paraId="3A86D115">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88" w:type="dxa"/>
            <w:shd w:val="clear" w:color="auto" w:fill="FFFFFF"/>
            <w:vAlign w:val="center"/>
          </w:tcPr>
          <w:p w14:paraId="23FC81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88" w:type="dxa"/>
            <w:shd w:val="clear" w:color="auto" w:fill="FFFFFF"/>
            <w:vAlign w:val="center"/>
          </w:tcPr>
          <w:p w14:paraId="0853FB91">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8" w:type="dxa"/>
            <w:shd w:val="clear" w:color="auto" w:fill="FFFFFF"/>
            <w:vAlign w:val="center"/>
          </w:tcPr>
          <w:p w14:paraId="700E4377">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33" w:type="dxa"/>
            <w:shd w:val="clear" w:color="auto" w:fill="FFFFFF"/>
            <w:vAlign w:val="center"/>
          </w:tcPr>
          <w:p w14:paraId="1B9F5D44">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4A5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35" w:type="dxa"/>
            <w:shd w:val="clear" w:color="auto" w:fill="FFFFFF"/>
            <w:vAlign w:val="center"/>
          </w:tcPr>
          <w:p w14:paraId="22A0983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15</w:t>
            </w:r>
          </w:p>
        </w:tc>
        <w:tc>
          <w:tcPr>
            <w:tcW w:w="1583" w:type="dxa"/>
            <w:shd w:val="clear" w:color="auto" w:fill="FFFFFF"/>
            <w:vAlign w:val="center"/>
          </w:tcPr>
          <w:p w14:paraId="5F2F123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连接管</w:t>
            </w:r>
          </w:p>
        </w:tc>
        <w:tc>
          <w:tcPr>
            <w:tcW w:w="1302" w:type="dxa"/>
            <w:shd w:val="clear" w:color="auto" w:fill="FFFFFF"/>
            <w:vAlign w:val="center"/>
          </w:tcPr>
          <w:p w14:paraId="0605C54F">
            <w:pPr>
              <w:jc w:val="center"/>
              <w:rPr>
                <w:rFonts w:hint="eastAsia" w:ascii="宋体" w:hAnsi="宋体" w:eastAsia="宋体" w:cs="宋体"/>
                <w:i w:val="0"/>
                <w:iCs w:val="0"/>
                <w:color w:val="000000"/>
                <w:sz w:val="21"/>
                <w:szCs w:val="21"/>
                <w:highlight w:val="none"/>
                <w:u w:val="none"/>
              </w:rPr>
            </w:pPr>
          </w:p>
        </w:tc>
        <w:tc>
          <w:tcPr>
            <w:tcW w:w="6198" w:type="dxa"/>
            <w:shd w:val="clear" w:color="auto" w:fill="auto"/>
            <w:noWrap/>
            <w:vAlign w:val="center"/>
          </w:tcPr>
          <w:p w14:paraId="1FF1CEB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w:t>
            </w:r>
          </w:p>
        </w:tc>
        <w:tc>
          <w:tcPr>
            <w:tcW w:w="1258" w:type="dxa"/>
            <w:shd w:val="clear" w:color="auto" w:fill="FFFFFF"/>
            <w:vAlign w:val="center"/>
          </w:tcPr>
          <w:p w14:paraId="18AC201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88" w:type="dxa"/>
            <w:shd w:val="clear" w:color="auto" w:fill="FFFFFF"/>
            <w:vAlign w:val="center"/>
          </w:tcPr>
          <w:p w14:paraId="3A303F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88" w:type="dxa"/>
            <w:shd w:val="clear" w:color="auto" w:fill="FFFFFF"/>
            <w:vAlign w:val="center"/>
          </w:tcPr>
          <w:p w14:paraId="2D4323F6">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8" w:type="dxa"/>
            <w:shd w:val="clear" w:color="auto" w:fill="FFFFFF"/>
            <w:vAlign w:val="center"/>
          </w:tcPr>
          <w:p w14:paraId="6ACD92ED">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33" w:type="dxa"/>
            <w:shd w:val="clear" w:color="auto" w:fill="FFFFFF"/>
            <w:vAlign w:val="center"/>
          </w:tcPr>
          <w:p w14:paraId="5C0B7888">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730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1664" w:type="dxa"/>
            <w:gridSpan w:val="6"/>
            <w:shd w:val="clear" w:color="auto" w:fill="FFFFFF"/>
            <w:vAlign w:val="center"/>
          </w:tcPr>
          <w:p w14:paraId="4930FFA1">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合计（元）</w:t>
            </w:r>
          </w:p>
        </w:tc>
        <w:tc>
          <w:tcPr>
            <w:tcW w:w="1576" w:type="dxa"/>
            <w:gridSpan w:val="2"/>
            <w:shd w:val="clear" w:color="auto" w:fill="FFFFFF"/>
            <w:vAlign w:val="center"/>
          </w:tcPr>
          <w:p w14:paraId="0F07F6B5">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33" w:type="dxa"/>
            <w:shd w:val="clear" w:color="auto" w:fill="FFFFFF"/>
            <w:vAlign w:val="center"/>
          </w:tcPr>
          <w:p w14:paraId="5E7D0A2B">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bl>
    <w:p w14:paraId="47B4503C">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 w:val="21"/>
          <w:szCs w:val="21"/>
          <w:highlight w:val="none"/>
          <w:lang w:val="en-US" w:eastAsia="zh-CN"/>
        </w:rPr>
      </w:pPr>
    </w:p>
    <w:p w14:paraId="51C871B0">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注：1、</w:t>
      </w:r>
      <w:r>
        <w:rPr>
          <w:rFonts w:hint="eastAsia" w:ascii="宋体" w:hAnsi="宋体"/>
          <w:color w:val="auto"/>
          <w:sz w:val="21"/>
          <w:szCs w:val="21"/>
          <w:highlight w:val="none"/>
        </w:rPr>
        <w:t>上述</w:t>
      </w:r>
      <w:r>
        <w:rPr>
          <w:rFonts w:hint="eastAsia" w:ascii="宋体" w:hAnsi="宋体"/>
          <w:color w:val="auto"/>
          <w:sz w:val="21"/>
          <w:szCs w:val="21"/>
          <w:highlight w:val="none"/>
          <w:lang w:val="en-US" w:eastAsia="zh-CN"/>
        </w:rPr>
        <w:t>综合</w:t>
      </w:r>
      <w:r>
        <w:rPr>
          <w:rFonts w:hint="eastAsia" w:ascii="宋体" w:hAnsi="宋体"/>
          <w:color w:val="auto"/>
          <w:sz w:val="21"/>
          <w:szCs w:val="21"/>
          <w:highlight w:val="none"/>
        </w:rPr>
        <w:t>单价中包括</w:t>
      </w:r>
      <w:r>
        <w:rPr>
          <w:rFonts w:hint="eastAsia" w:ascii="宋体" w:hAnsi="宋体"/>
          <w:color w:val="auto"/>
          <w:sz w:val="21"/>
          <w:szCs w:val="21"/>
          <w:highlight w:val="none"/>
          <w:lang w:val="en-US" w:eastAsia="zh-CN"/>
        </w:rPr>
        <w:t>，包含但不限于</w:t>
      </w:r>
      <w:r>
        <w:rPr>
          <w:rFonts w:hint="eastAsia" w:ascii="宋体" w:hAnsi="宋体"/>
          <w:color w:val="auto"/>
          <w:sz w:val="21"/>
          <w:szCs w:val="21"/>
          <w:highlight w:val="none"/>
        </w:rPr>
        <w:t>完成项目所需的人工费、包装费</w:t>
      </w:r>
      <w:r>
        <w:rPr>
          <w:rFonts w:hint="eastAsia" w:ascii="宋体" w:hAnsi="宋体"/>
          <w:color w:val="auto"/>
          <w:sz w:val="21"/>
          <w:szCs w:val="21"/>
          <w:highlight w:val="none"/>
          <w:lang w:eastAsia="zh-CN"/>
        </w:rPr>
        <w:t>、</w:t>
      </w:r>
      <w:r>
        <w:rPr>
          <w:rFonts w:hint="eastAsia" w:ascii="宋体" w:hAnsi="宋体"/>
          <w:color w:val="auto"/>
          <w:sz w:val="21"/>
          <w:szCs w:val="21"/>
          <w:highlight w:val="none"/>
        </w:rPr>
        <w:t>材料费、运输费（含二次搬运）、利润、管理费、规费、</w:t>
      </w:r>
      <w:r>
        <w:rPr>
          <w:rFonts w:hint="eastAsia" w:ascii="宋体" w:hAnsi="宋体"/>
          <w:color w:val="auto"/>
          <w:sz w:val="21"/>
          <w:szCs w:val="21"/>
          <w:highlight w:val="none"/>
          <w:lang w:val="en-US" w:eastAsia="zh-CN"/>
        </w:rPr>
        <w:t>税金、</w:t>
      </w:r>
      <w:r>
        <w:rPr>
          <w:rFonts w:hint="eastAsia" w:ascii="宋体" w:hAnsi="宋体"/>
          <w:color w:val="auto"/>
          <w:sz w:val="21"/>
          <w:szCs w:val="21"/>
          <w:highlight w:val="none"/>
        </w:rPr>
        <w:t>风险费以及完成相应工作内容的安全及防护费等一切费用</w:t>
      </w:r>
      <w:r>
        <w:rPr>
          <w:rFonts w:hint="eastAsia" w:ascii="宋体" w:hAnsi="宋体"/>
          <w:color w:val="auto"/>
          <w:sz w:val="21"/>
          <w:szCs w:val="21"/>
          <w:highlight w:val="none"/>
          <w:lang w:eastAsia="zh-CN"/>
        </w:rPr>
        <w:t>，</w:t>
      </w:r>
      <w:r>
        <w:rPr>
          <w:rFonts w:hint="eastAsia" w:ascii="宋体" w:hAnsi="宋体"/>
          <w:color w:val="auto"/>
          <w:sz w:val="21"/>
          <w:szCs w:val="21"/>
          <w:highlight w:val="none"/>
        </w:rPr>
        <w:t>即响应本磋商文件规定的各项应有费用，采购文件中另有规定的除外。同时，报价也应包含合同履行过程中可能发生的一切风。本项目结算时，固定单价不变，数量按实结算。</w:t>
      </w:r>
    </w:p>
    <w:p w14:paraId="2523846D">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本项目采购预算为人民币</w:t>
      </w:r>
      <w:r>
        <w:rPr>
          <w:rFonts w:hint="eastAsia" w:ascii="宋体" w:hAnsi="宋体" w:cs="Times New Roman"/>
          <w:color w:val="auto"/>
          <w:sz w:val="21"/>
          <w:szCs w:val="21"/>
          <w:highlight w:val="none"/>
          <w:u w:val="single"/>
          <w:lang w:val="en-US" w:eastAsia="zh-CN"/>
        </w:rPr>
        <w:t xml:space="preserve">  8.1 </w:t>
      </w:r>
      <w:r>
        <w:rPr>
          <w:rFonts w:hint="eastAsia" w:ascii="宋体" w:hAnsi="宋体" w:eastAsia="宋体" w:cs="Times New Roman"/>
          <w:color w:val="auto"/>
          <w:sz w:val="21"/>
          <w:szCs w:val="21"/>
          <w:highlight w:val="none"/>
        </w:rPr>
        <w:t>万元整，本项目</w:t>
      </w:r>
      <w:r>
        <w:rPr>
          <w:rFonts w:hint="eastAsia" w:ascii="宋体" w:hAnsi="宋体" w:eastAsia="宋体" w:cs="Times New Roman"/>
          <w:color w:val="auto"/>
          <w:sz w:val="21"/>
          <w:szCs w:val="21"/>
          <w:highlight w:val="none"/>
          <w:lang w:val="en-US" w:eastAsia="zh-CN"/>
        </w:rPr>
        <w:t>报价一览表及明细表</w:t>
      </w:r>
      <w:r>
        <w:rPr>
          <w:rFonts w:hint="eastAsia" w:ascii="宋体" w:hAnsi="宋体" w:eastAsia="宋体" w:cs="Times New Roman"/>
          <w:color w:val="auto"/>
          <w:sz w:val="21"/>
          <w:szCs w:val="21"/>
          <w:highlight w:val="none"/>
        </w:rPr>
        <w:t>中投标人的投标</w:t>
      </w:r>
      <w:r>
        <w:rPr>
          <w:rFonts w:hint="eastAsia" w:ascii="宋体" w:hAnsi="宋体" w:eastAsia="宋体" w:cs="Times New Roman"/>
          <w:color w:val="auto"/>
          <w:sz w:val="21"/>
          <w:szCs w:val="21"/>
          <w:highlight w:val="none"/>
          <w:lang w:val="en-US" w:eastAsia="zh-CN"/>
        </w:rPr>
        <w:t>总</w:t>
      </w:r>
      <w:r>
        <w:rPr>
          <w:rFonts w:hint="eastAsia" w:ascii="宋体" w:hAnsi="宋体" w:eastAsia="宋体" w:cs="Times New Roman"/>
          <w:color w:val="auto"/>
          <w:sz w:val="21"/>
          <w:szCs w:val="21"/>
          <w:highlight w:val="none"/>
        </w:rPr>
        <w:t>报价不得超过</w:t>
      </w:r>
      <w:r>
        <w:rPr>
          <w:rFonts w:hint="eastAsia" w:ascii="宋体" w:hAnsi="宋体" w:cs="Times New Roman"/>
          <w:color w:val="auto"/>
          <w:sz w:val="21"/>
          <w:szCs w:val="21"/>
          <w:highlight w:val="none"/>
          <w:u w:val="single"/>
          <w:lang w:val="en-US" w:eastAsia="zh-CN"/>
        </w:rPr>
        <w:t>8.1</w:t>
      </w:r>
      <w:r>
        <w:rPr>
          <w:rFonts w:hint="eastAsia" w:ascii="宋体" w:hAnsi="宋体" w:eastAsia="宋体" w:cs="Times New Roman"/>
          <w:color w:val="auto"/>
          <w:sz w:val="21"/>
          <w:szCs w:val="21"/>
          <w:highlight w:val="none"/>
        </w:rPr>
        <w:t>万元，否则按无效投标处理。</w:t>
      </w:r>
      <w:r>
        <w:rPr>
          <w:rFonts w:hint="eastAsia" w:ascii="宋体" w:hAnsi="宋体" w:eastAsia="宋体" w:cs="Times New Roman"/>
          <w:b/>
          <w:bCs/>
          <w:color w:val="auto"/>
          <w:sz w:val="21"/>
          <w:szCs w:val="21"/>
          <w:highlight w:val="none"/>
          <w:lang w:val="en-US" w:eastAsia="zh-CN"/>
        </w:rPr>
        <w:t>报价可保留小数点后两位</w:t>
      </w:r>
      <w:r>
        <w:rPr>
          <w:rFonts w:hint="eastAsia" w:ascii="宋体" w:hAnsi="宋体" w:eastAsia="宋体" w:cs="Times New Roman"/>
          <w:color w:val="auto"/>
          <w:sz w:val="21"/>
          <w:szCs w:val="21"/>
          <w:highlight w:val="none"/>
          <w:lang w:val="en-US" w:eastAsia="zh-CN"/>
        </w:rPr>
        <w:t>。</w:t>
      </w:r>
    </w:p>
    <w:p w14:paraId="0E8CEFB5">
      <w:pPr>
        <w:pStyle w:val="49"/>
        <w:numPr>
          <w:ilvl w:val="0"/>
          <w:numId w:val="0"/>
        </w:numPr>
        <w:ind w:leftChars="0"/>
        <w:rPr>
          <w:rFonts w:hint="default"/>
          <w:color w:val="auto"/>
          <w:highlight w:val="none"/>
          <w:lang w:val="en-US" w:eastAsia="zh-CN"/>
        </w:rPr>
      </w:pPr>
      <w:r>
        <w:rPr>
          <w:rFonts w:hint="eastAsia" w:cs="宋体"/>
          <w:b/>
          <w:bCs/>
          <w:color w:val="auto"/>
          <w:sz w:val="21"/>
          <w:szCs w:val="24"/>
          <w:highlight w:val="none"/>
          <w:lang w:val="en-US" w:eastAsia="zh-CN" w:bidi="ar-SA"/>
        </w:rPr>
        <w:t>3、</w:t>
      </w:r>
      <w:r>
        <w:rPr>
          <w:rFonts w:hint="eastAsia" w:ascii="宋体" w:hAnsi="宋体" w:eastAsia="宋体" w:cs="宋体"/>
          <w:b/>
          <w:bCs/>
          <w:color w:val="auto"/>
          <w:sz w:val="21"/>
          <w:szCs w:val="24"/>
          <w:highlight w:val="none"/>
          <w:lang w:val="en-US" w:eastAsia="zh-CN" w:bidi="ar-SA"/>
        </w:rPr>
        <w:t>本报价非最终报价，最终报价以</w:t>
      </w:r>
      <w:r>
        <w:rPr>
          <w:rFonts w:hint="eastAsia" w:cs="宋体"/>
          <w:b/>
          <w:bCs/>
          <w:color w:val="auto"/>
          <w:sz w:val="21"/>
          <w:szCs w:val="24"/>
          <w:highlight w:val="none"/>
          <w:lang w:val="en-US" w:eastAsia="zh-CN" w:bidi="ar-SA"/>
        </w:rPr>
        <w:t>现场报价单</w:t>
      </w:r>
      <w:r>
        <w:rPr>
          <w:rFonts w:hint="eastAsia" w:ascii="宋体" w:hAnsi="宋体" w:eastAsia="宋体" w:cs="宋体"/>
          <w:b/>
          <w:bCs/>
          <w:color w:val="auto"/>
          <w:sz w:val="21"/>
          <w:szCs w:val="24"/>
          <w:highlight w:val="none"/>
          <w:lang w:val="en-US" w:eastAsia="zh-CN" w:bidi="ar-SA"/>
        </w:rPr>
        <w:t>为准。（各成交综合单价按成交总价和其标书中的投标总价的下浮比例同比下浮）</w:t>
      </w:r>
    </w:p>
    <w:p w14:paraId="1B037470">
      <w:pPr>
        <w:keepNext w:val="0"/>
        <w:keepLines w:val="0"/>
        <w:pageBreakBefore w:val="0"/>
        <w:widowControl w:val="0"/>
        <w:kinsoku/>
        <w:wordWrap/>
        <w:overflowPunct/>
        <w:topLinePunct w:val="0"/>
        <w:autoSpaceDE/>
        <w:autoSpaceDN/>
        <w:bidi w:val="0"/>
        <w:adjustRightInd w:val="0"/>
        <w:snapToGrid w:val="0"/>
        <w:ind w:firstLine="840" w:firstLineChars="3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14:paraId="71495035">
      <w:pPr>
        <w:keepNext w:val="0"/>
        <w:keepLines w:val="0"/>
        <w:pageBreakBefore w:val="0"/>
        <w:widowControl w:val="0"/>
        <w:kinsoku/>
        <w:wordWrap/>
        <w:overflowPunct/>
        <w:topLinePunct w:val="0"/>
        <w:autoSpaceDE/>
        <w:autoSpaceDN/>
        <w:bidi w:val="0"/>
        <w:adjustRightInd w:val="0"/>
        <w:snapToGrid w:val="0"/>
        <w:ind w:firstLine="720" w:firstLineChars="3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投标人全称（盖单位公章）：  </w:t>
      </w:r>
    </w:p>
    <w:p w14:paraId="32CAE49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546AACA">
      <w:pPr>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val="en-US" w:eastAsia="zh-CN"/>
        </w:rPr>
      </w:pPr>
      <w:r>
        <w:rPr>
          <w:rFonts w:hint="eastAsia" w:ascii="宋体" w:hAnsi="宋体" w:cs="宋体"/>
          <w:color w:val="auto"/>
          <w:sz w:val="24"/>
          <w:szCs w:val="24"/>
          <w:highlight w:val="none"/>
        </w:rPr>
        <w:t xml:space="preserve"> 法定代表人或其授权委托人（签字或盖章）：</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sectPr>
      <w:pgSz w:w="16838" w:h="11907" w:orient="landscape"/>
      <w:pgMar w:top="1418" w:right="1418" w:bottom="1418" w:left="1418" w:header="851" w:footer="992"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F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6F0B67-B52E-4D18-BE53-EB937AF597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C743EF5-CB54-4C42-8616-0B9340C99748}"/>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Bold">
    <w:altName w:val="Arial"/>
    <w:panose1 w:val="000000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0002A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MetaNormalLF-Roman">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embedRegular r:id="rId3" w:fontKey="{64E49135-CFD0-4301-90BD-FB1AD22767EA}"/>
  </w:font>
  <w:font w:name="方正大黑简体">
    <w:altName w:val="黑体"/>
    <w:panose1 w:val="02000000000000000000"/>
    <w:charset w:val="86"/>
    <w:family w:val="auto"/>
    <w:pitch w:val="default"/>
    <w:sig w:usb0="00000000" w:usb1="00000000" w:usb2="00000012" w:usb3="00000000" w:csb0="00040001" w:csb1="00000000"/>
  </w:font>
  <w:font w:name="Univers">
    <w:altName w:val="Segoe Print"/>
    <w:panose1 w:val="020B0603020202030204"/>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微软雅黑 Light">
    <w:panose1 w:val="020B0502040204020203"/>
    <w:charset w:val="86"/>
    <w:family w:val="swiss"/>
    <w:pitch w:val="default"/>
    <w:sig w:usb0="80000287" w:usb1="2ACF0010"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Corbel"/>
    <w:panose1 w:val="00000000000000000000"/>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Verdana">
    <w:panose1 w:val="020B0604030504040204"/>
    <w:charset w:val="00"/>
    <w:family w:val="swiss"/>
    <w:pitch w:val="default"/>
    <w:sig w:usb0="A00006FF" w:usb1="4000205B" w:usb2="00000010" w:usb3="00000000" w:csb0="2000019F" w:csb1="00000000"/>
  </w:font>
  <w:font w:name="Univers Condensed">
    <w:altName w:val="Segoe Print"/>
    <w:panose1 w:val="020B0606020202060204"/>
    <w:charset w:val="00"/>
    <w:family w:val="swiss"/>
    <w:pitch w:val="default"/>
    <w:sig w:usb0="00000000" w:usb1="00000000" w:usb2="00000000" w:usb3="00000000" w:csb0="00000000" w:csb1="00000000"/>
  </w:font>
  <w:font w:name="昆仑仿宋">
    <w:altName w:val="黑体"/>
    <w:panose1 w:val="00000000000000000000"/>
    <w:charset w:val="86"/>
    <w:family w:val="modern"/>
    <w:pitch w:val="default"/>
    <w:sig w:usb0="00000000" w:usb1="00000000" w:usb2="0000001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方正黑体_GBK">
    <w:altName w:val="微软雅黑"/>
    <w:panose1 w:val="02010600010101010101"/>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0C997F76-FD21-4AA3-A4D2-0ABD4FAE37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00EE9">
    <w:pPr>
      <w:pStyle w:val="30"/>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8" name="文本框 2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A0EB0">
                          <w:pPr>
                            <w:pStyle w:val="3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oEs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hTdMo+SnH99P&#10;Px9Ov76RdAiJGhdmiLx3iI3tO9uicYbzgMPEvK28Tl9wIvBD4ONFYNFGwtOl6WQ6zeHi8A0b4GeP&#10;150P8b2wmiSjoB4V7IRlh02IfegQkrIZu5ZKdVVUhjQFvXr9J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aBLGNAIAAGUEAAAOAAAAAAAAAAEAIAAAAB8BAABkcnMvZTJvRG9jLnhtbFBL&#10;BQYAAAAABgAGAFkBAADFBQAAAAA=&#10;">
              <v:fill on="f" focussize="0,0"/>
              <v:stroke on="f" weight="0.5pt"/>
              <v:imagedata o:title=""/>
              <o:lock v:ext="edit" aspectratio="f"/>
              <v:textbox inset="0mm,0mm,0mm,0mm" style="mso-fit-shape-to-text:t;">
                <w:txbxContent>
                  <w:p w14:paraId="5BAA0EB0">
                    <w:pPr>
                      <w:pStyle w:val="3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16D7E">
    <w:pPr>
      <w:pStyle w:val="30"/>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2" name="文本框 3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20051">
                          <w:pPr>
                            <w:pStyle w:val="3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7++Q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Ff5hB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O/vkNAIAAGUEAAAOAAAAAAAAAAEAIAAAAB8BAABkcnMvZTJvRG9jLnhtbFBL&#10;BQYAAAAABgAGAFkBAADFBQAAAAA=&#10;">
              <v:fill on="f" focussize="0,0"/>
              <v:stroke on="f" weight="0.5pt"/>
              <v:imagedata o:title=""/>
              <o:lock v:ext="edit" aspectratio="f"/>
              <v:textbox inset="0mm,0mm,0mm,0mm" style="mso-fit-shape-to-text:t;">
                <w:txbxContent>
                  <w:p w14:paraId="3B520051">
                    <w:pPr>
                      <w:pStyle w:val="3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CB57">
    <w:pPr>
      <w:pStyle w:val="3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7783E">
    <w:pPr>
      <w:pStyle w:val="30"/>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9" name="文本框 2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EE1FC">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9SMWjUCAABlBAAADgAAAAAAAAABACAAAAAfAQAAZHJzL2Uyb0RvYy54bWxQ&#10;SwUGAAAAAAYABgBZAQAAxgUAAAAA&#10;">
              <v:fill on="f" focussize="0,0"/>
              <v:stroke on="f" weight="0.5pt"/>
              <v:imagedata o:title=""/>
              <o:lock v:ext="edit" aspectratio="f"/>
              <v:textbox inset="0mm,0mm,0mm,0mm" style="mso-fit-shape-to-text:t;">
                <w:txbxContent>
                  <w:p w14:paraId="38AEE1FC">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A9A2A">
    <w:pPr>
      <w:pStyle w:val="30"/>
      <w:spacing w:line="240" w:lineRule="auto"/>
      <w:ind w:firstLine="0" w:firstLineChars="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0" name="文本框 3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2C990">
                          <w:pPr>
                            <w:pStyle w:val="3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5FtwY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5FtwYzAgAAZQQAAA4AAAAAAAAAAQAgAAAAHwEAAGRycy9lMm9Eb2MueG1sUEsF&#10;BgAAAAAGAAYAWQEAAMQFAAAAAA==&#10;">
              <v:fill on="f" focussize="0,0"/>
              <v:stroke on="f" weight="0.5pt"/>
              <v:imagedata o:title=""/>
              <o:lock v:ext="edit" aspectratio="f"/>
              <v:textbox inset="0mm,0mm,0mm,0mm" style="mso-fit-shape-to-text:t;">
                <w:txbxContent>
                  <w:p w14:paraId="3CF2C990">
                    <w:pPr>
                      <w:pStyle w:val="3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DE2EE">
    <w:pPr>
      <w:pStyle w:val="30"/>
      <w:spacing w:line="240" w:lineRule="auto"/>
      <w:ind w:firstLine="0" w:firstLineChars="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1" name="文本框 3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87C4F">
                          <w:pPr>
                            <w:pStyle w:val="3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SmaNAIAAGUEAAAOAAAAAAAAAAEAIAAAAB8BAABkcnMvZTJvRG9jLnhtbFBL&#10;BQYAAAAABgAGAFkBAADFBQAAAAA=&#10;">
              <v:fill on="f" focussize="0,0"/>
              <v:stroke on="f" weight="0.5pt"/>
              <v:imagedata o:title=""/>
              <o:lock v:ext="edit" aspectratio="f"/>
              <v:textbox inset="0mm,0mm,0mm,0mm" style="mso-fit-shape-to-text:t;">
                <w:txbxContent>
                  <w:p w14:paraId="3C687C4F">
                    <w:pPr>
                      <w:pStyle w:val="3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2D9A">
    <w:pPr>
      <w:pStyle w:val="3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663C2F">
                          <w:pPr>
                            <w:pStyle w:val="30"/>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4vJpiyQEAAJsDAAAOAAAAAAAAAAEAIAAAAB4BAABkcnMvZTJvRG9j&#10;LnhtbFBLBQYAAAAABgAGAFkBAABZBQAAAAA=&#10;">
              <v:fill on="f" focussize="0,0"/>
              <v:stroke on="f"/>
              <v:imagedata o:title=""/>
              <o:lock v:ext="edit" aspectratio="f"/>
              <v:textbox inset="0mm,0mm,0mm,0mm" style="mso-fit-shape-to-text:t;">
                <w:txbxContent>
                  <w:p w14:paraId="6D663C2F">
                    <w:pPr>
                      <w:pStyle w:val="3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72A2A">
    <w:pPr>
      <w:pStyle w:val="3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349AE6">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6ky8kBAACb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Wr+kxHGLE798/3b58evy8ytB&#10;Hwo0BGgw7z5gZhrf+BHXZvEDOjPvUUWbv8iIYBzlPV/llWMiIj+q13VdYUhgbLkgPnt4HiKkt9Jb&#10;ko2WRpxfkZWf3kOaUpeUXM35O21MmaFxfzkQM3tY7n3qMVtp3I8zob3vzshnwNG31OGmU2LeOVQ2&#10;b8lixMXYL8YxRH3oyxrlehBeHxM2UXrLFSbYuTDOrLCb9ysvxZ/3kvXwT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HqTLyQEAAJsDAAAOAAAAAAAAAAEAIAAAAB4BAABkcnMvZTJvRG9j&#10;LnhtbFBLBQYAAAAABgAGAFkBAABZBQAAAAA=&#10;">
              <v:fill on="f" focussize="0,0"/>
              <v:stroke on="f"/>
              <v:imagedata o:title=""/>
              <o:lock v:ext="edit" aspectratio="f"/>
              <v:textbox inset="0mm,0mm,0mm,0mm" style="mso-fit-shape-to-text:t;">
                <w:txbxContent>
                  <w:p w14:paraId="20349AE6">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17C3F">
    <w:pPr>
      <w:pStyle w:val="3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C0742D">
                          <w:pPr>
                            <w:pStyle w:val="30"/>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7NAsgBAACb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1q8ocdzixC/fv11+/Lr8/ErQ&#10;hwINARrMuw+YmcY3fsS1WfyAzsx7VNHmLzIiGEd5z1d55ZiIyI/qdV1XGBIYWy6Izx6ehwjprfSW&#10;ZKOlEedXZOWn95Cm1CUlV3P+ThtTZmjcXw7EzB6We596zFYa9+NMaO+7M/IZcPQtdbjplJh3DpXN&#10;W7IYcTH2i3EMUR/6ska5HoTXx4RNlN5yhQl2LowzK+zm/cpL8ee9ZD38U9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ezQLIAQAAmwMAAA4AAAAAAAAAAQAgAAAAHgEAAGRycy9lMm9Eb2Mu&#10;eG1sUEsFBgAAAAAGAAYAWQEAAFgFAAAAAA==&#10;">
              <v:fill on="f" focussize="0,0"/>
              <v:stroke on="f"/>
              <v:imagedata o:title=""/>
              <o:lock v:ext="edit" aspectratio="f"/>
              <v:textbox inset="0mm,0mm,0mm,0mm" style="mso-fit-shape-to-text:t;">
                <w:txbxContent>
                  <w:p w14:paraId="07C0742D">
                    <w:pPr>
                      <w:pStyle w:val="3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6243F">
    <w:pPr>
      <w:pStyle w:val="3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8C85A7">
                          <w:pPr>
                            <w:pStyle w:val="30"/>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v0I08gBAACb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tMa5O25x4pcf3y8/f19+fSPo&#10;Q4GGAA3m3QfMTONbP+LaLH5AZ+Y9qmjzFxkRjKO856u8ckxE5Ef1uq4rDAmMLRfEZw/PQ4T0TnpL&#10;stHSiPMrsvLTB0hT6pKSqzl/p40pMzTuLwdiZg/LvU89ZiuN+3EmtPfdGfkMOPqWOtx0Ssx7h8rm&#10;LVmMuBj7xTiGqA99WaNcD8KbY8ImSm+5wgQ7F8aZFXbzfuWleHwvWQ//1P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79CNPIAQAAmwMAAA4AAAAAAAAAAQAgAAAAHgEAAGRycy9lMm9Eb2Mu&#10;eG1sUEsFBgAAAAAGAAYAWQEAAFgFAAAAAA==&#10;">
              <v:fill on="f" focussize="0,0"/>
              <v:stroke on="f"/>
              <v:imagedata o:title=""/>
              <o:lock v:ext="edit" aspectratio="f"/>
              <v:textbox inset="0mm,0mm,0mm,0mm" style="mso-fit-shape-to-text:t;">
                <w:txbxContent>
                  <w:p w14:paraId="0E8C85A7">
                    <w:pPr>
                      <w:pStyle w:val="30"/>
                    </w:pPr>
                    <w:r>
                      <w:fldChar w:fldCharType="begin"/>
                    </w:r>
                    <w:r>
                      <w:instrText xml:space="preserve"> PAGE  \* MERGEFORMAT </w:instrText>
                    </w:r>
                    <w:r>
                      <w:fldChar w:fldCharType="separate"/>
                    </w:r>
                    <w:r>
                      <w:t>36</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C4ECA7">
                          <w:pPr>
                            <w:snapToGrid w:val="0"/>
                            <w:rPr>
                              <w:rFonts w:hint="eastAsia"/>
                              <w:sz w:val="18"/>
                            </w:rPr>
                          </w:pPr>
                          <w:r>
                            <w:rPr>
                              <w:rFonts w:hint="eastAsia"/>
                              <w:sz w:val="18"/>
                            </w:rPr>
                            <w:t>35</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7gsgtcoBAACbAwAADgAAAAAAAAABACAAAAAeAQAAZHJzL2Uyb0Rv&#10;Yy54bWxQSwUGAAAAAAYABgBZAQAAWgUAAAAA&#10;">
              <v:fill on="f" focussize="0,0"/>
              <v:stroke on="f"/>
              <v:imagedata o:title=""/>
              <o:lock v:ext="edit" aspectratio="f"/>
              <v:textbox inset="0mm,0mm,0mm,0mm" style="mso-fit-shape-to-text:t;">
                <w:txbxContent>
                  <w:p w14:paraId="51C4ECA7">
                    <w:pPr>
                      <w:snapToGrid w:val="0"/>
                      <w:rPr>
                        <w:rFonts w:hint="eastAsia"/>
                        <w:sz w:val="18"/>
                      </w:rPr>
                    </w:pPr>
                    <w:r>
                      <w:rPr>
                        <w:rFonts w:hint="eastAsia"/>
                        <w:sz w:val="18"/>
                      </w:rPr>
                      <w:t>35</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9BA92">
    <w:pPr>
      <w:pStyle w:val="3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87419">
    <w:pPr>
      <w:pStyle w:val="3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90681">
    <w:pPr>
      <w:pStyle w:val="31"/>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6E8F7">
    <w:pPr>
      <w:pStyle w:val="31"/>
      <w:pBdr>
        <w:bottom w:val="none" w:color="auto" w:sz="0" w:space="0"/>
      </w:pBdr>
      <w:ind w:firstLine="420"/>
      <w:jc w:val="right"/>
      <w:rPr>
        <w:rFonts w:ascii="黑体" w:hAnsi="黑体" w:eastAsia="黑体" w:cs="黑体"/>
        <w:sz w:val="21"/>
        <w:szCs w:val="21"/>
      </w:rPr>
    </w:pPr>
  </w:p>
  <w:p w14:paraId="4003F1B8">
    <w:pPr>
      <w:pStyle w:val="31"/>
      <w:pBdr>
        <w:bottom w:val="none" w:color="auto" w:sz="0" w:space="0"/>
      </w:pBdr>
      <w:ind w:firstLine="420"/>
      <w:jc w:val="right"/>
      <w:rPr>
        <w:rFonts w:ascii="黑体" w:hAnsi="黑体" w:eastAsia="黑体" w:cs="黑体"/>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3ECD">
    <w:pPr>
      <w:pStyle w:val="3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pStyle w:val="168"/>
      <w:lvlText w:val="%1."/>
      <w:lvlJc w:val="left"/>
      <w:pPr>
        <w:tabs>
          <w:tab w:val="left" w:pos="762"/>
        </w:tabs>
        <w:ind w:left="762" w:hanging="210"/>
      </w:pPr>
      <w:rPr>
        <w:rFonts w:hint="eastAsia"/>
      </w:rPr>
    </w:lvl>
  </w:abstractNum>
  <w:abstractNum w:abstractNumId="1">
    <w:nsid w:val="00000003"/>
    <w:multiLevelType w:val="multilevel"/>
    <w:tmpl w:val="00000003"/>
    <w:lvl w:ilvl="0" w:tentative="0">
      <w:start w:val="1"/>
      <w:numFmt w:val="chineseCountingThousand"/>
      <w:pStyle w:val="308"/>
      <w:suff w:val="nothing"/>
      <w:lvlText w:val="第%1部分"/>
      <w:lvlJc w:val="left"/>
      <w:pPr>
        <w:ind w:left="578" w:hanging="180"/>
      </w:pPr>
      <w:rPr>
        <w:rFonts w:hint="eastAsia"/>
      </w:rPr>
    </w:lvl>
    <w:lvl w:ilvl="1" w:tentative="0">
      <w:start w:val="1"/>
      <w:numFmt w:val="decimal"/>
      <w:suff w:val="nothing"/>
      <w:lvlText w:val="%1.%2 "/>
      <w:lvlJc w:val="left"/>
      <w:pPr>
        <w:ind w:left="938" w:firstLine="0"/>
      </w:pPr>
      <w:rPr>
        <w:rFonts w:hint="eastAsia"/>
      </w:rPr>
    </w:lvl>
    <w:lvl w:ilvl="2" w:tentative="0">
      <w:start w:val="1"/>
      <w:numFmt w:val="decimal"/>
      <w:suff w:val="nothing"/>
      <w:lvlText w:val="%1.%2.%3 "/>
      <w:lvlJc w:val="left"/>
      <w:pPr>
        <w:ind w:left="938" w:firstLine="0"/>
      </w:pPr>
      <w:rPr>
        <w:rFonts w:hint="eastAsia"/>
      </w:rPr>
    </w:lvl>
    <w:lvl w:ilvl="3" w:tentative="0">
      <w:start w:val="1"/>
      <w:numFmt w:val="decimal"/>
      <w:suff w:val="nothing"/>
      <w:lvlText w:val="%1.%2.%3.%4 "/>
      <w:lvlJc w:val="left"/>
      <w:pPr>
        <w:ind w:left="938" w:firstLine="0"/>
      </w:pPr>
      <w:rPr>
        <w:rFonts w:hint="eastAsia"/>
      </w:rPr>
    </w:lvl>
    <w:lvl w:ilvl="4" w:tentative="0">
      <w:start w:val="1"/>
      <w:numFmt w:val="decimal"/>
      <w:suff w:val="nothing"/>
      <w:lvlText w:val="%5、"/>
      <w:lvlJc w:val="left"/>
      <w:pPr>
        <w:ind w:left="938" w:firstLine="0"/>
      </w:pPr>
      <w:rPr>
        <w:rFonts w:hint="eastAsia"/>
      </w:rPr>
    </w:lvl>
    <w:lvl w:ilvl="5" w:tentative="0">
      <w:start w:val="1"/>
      <w:numFmt w:val="none"/>
      <w:suff w:val="nothing"/>
      <w:lvlText w:val=""/>
      <w:lvlJc w:val="left"/>
      <w:pPr>
        <w:ind w:left="398" w:firstLine="0"/>
      </w:pPr>
      <w:rPr>
        <w:rFonts w:hint="eastAsia"/>
      </w:rPr>
    </w:lvl>
    <w:lvl w:ilvl="6" w:tentative="0">
      <w:start w:val="1"/>
      <w:numFmt w:val="none"/>
      <w:suff w:val="nothing"/>
      <w:lvlText w:val=""/>
      <w:lvlJc w:val="left"/>
      <w:pPr>
        <w:ind w:left="398" w:firstLine="0"/>
      </w:pPr>
      <w:rPr>
        <w:rFonts w:hint="eastAsia"/>
      </w:rPr>
    </w:lvl>
    <w:lvl w:ilvl="7" w:tentative="0">
      <w:start w:val="1"/>
      <w:numFmt w:val="none"/>
      <w:suff w:val="nothing"/>
      <w:lvlText w:val=""/>
      <w:lvlJc w:val="left"/>
      <w:pPr>
        <w:ind w:left="398" w:firstLine="0"/>
      </w:pPr>
      <w:rPr>
        <w:rFonts w:hint="eastAsia"/>
      </w:rPr>
    </w:lvl>
    <w:lvl w:ilvl="8" w:tentative="0">
      <w:start w:val="1"/>
      <w:numFmt w:val="none"/>
      <w:suff w:val="nothing"/>
      <w:lvlText w:val=""/>
      <w:lvlJc w:val="left"/>
      <w:pPr>
        <w:ind w:left="398" w:firstLine="0"/>
      </w:pPr>
      <w:rPr>
        <w:rFonts w:hint="eastAsia"/>
      </w:rPr>
    </w:lvl>
  </w:abstractNum>
  <w:abstractNum w:abstractNumId="2">
    <w:nsid w:val="00000004"/>
    <w:multiLevelType w:val="multilevel"/>
    <w:tmpl w:val="00000004"/>
    <w:lvl w:ilvl="0" w:tentative="0">
      <w:start w:val="1"/>
      <w:numFmt w:val="decimal"/>
      <w:pStyle w:val="371"/>
      <w:suff w:val="space"/>
      <w:lvlText w:val="%1"/>
      <w:lvlJc w:val="left"/>
      <w:pPr>
        <w:ind w:left="0" w:firstLine="0"/>
      </w:pPr>
      <w:rPr>
        <w:rFonts w:hint="eastAsia" w:eastAsia="宋体"/>
        <w:sz w:val="24"/>
      </w:rPr>
    </w:lvl>
    <w:lvl w:ilvl="1" w:tentative="0">
      <w:start w:val="1"/>
      <w:numFmt w:val="decimal"/>
      <w:pStyle w:val="441"/>
      <w:suff w:val="space"/>
      <w:lvlText w:val="%1.%2"/>
      <w:lvlJc w:val="left"/>
      <w:pPr>
        <w:ind w:left="300" w:firstLine="0"/>
      </w:pPr>
      <w:rPr>
        <w:rFonts w:hint="eastAsia"/>
      </w:rPr>
    </w:lvl>
    <w:lvl w:ilvl="2" w:tentative="0">
      <w:start w:val="1"/>
      <w:numFmt w:val="decimal"/>
      <w:pStyle w:val="409"/>
      <w:suff w:val="space"/>
      <w:lvlText w:val="%1.%2.%3"/>
      <w:lvlJc w:val="left"/>
      <w:pPr>
        <w:ind w:left="500" w:firstLine="0"/>
      </w:pPr>
      <w:rPr>
        <w:rFonts w:hint="eastAsia"/>
      </w:rPr>
    </w:lvl>
    <w:lvl w:ilvl="3" w:tentative="0">
      <w:start w:val="1"/>
      <w:numFmt w:val="decimal"/>
      <w:pStyle w:val="364"/>
      <w:lvlText w:val="%1.%2.%3.%4"/>
      <w:lvlJc w:val="left"/>
      <w:pPr>
        <w:ind w:left="0" w:firstLine="0"/>
      </w:pPr>
      <w:rPr>
        <w:rFonts w:hint="eastAsia" w:eastAsia="宋体"/>
        <w:b w:val="0"/>
        <w:i w:val="0"/>
        <w:spacing w:val="0"/>
        <w:w w:val="100"/>
        <w:position w:val="0"/>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pStyle w:val="437"/>
      <w:lvlText w:val="(%7)"/>
      <w:lvlJc w:val="left"/>
      <w:pPr>
        <w:ind w:left="0" w:firstLine="0"/>
      </w:pPr>
      <w:rPr>
        <w:rFonts w:hint="eastAsia" w:eastAsia="宋体"/>
        <w:sz w:val="24"/>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00000005"/>
    <w:multiLevelType w:val="multilevel"/>
    <w:tmpl w:val="00000005"/>
    <w:lvl w:ilvl="0" w:tentative="0">
      <w:start w:val="1"/>
      <w:numFmt w:val="decimal"/>
      <w:pStyle w:val="410"/>
      <w:lvlText w:val="（%1）"/>
      <w:lvlJc w:val="left"/>
      <w:pPr>
        <w:tabs>
          <w:tab w:val="left" w:pos="1104"/>
        </w:tabs>
        <w:ind w:left="1104" w:hanging="696"/>
      </w:pPr>
      <w:rPr>
        <w:rFonts w:ascii="Times New Roman" w:hAnsi="Times New Roman" w:eastAsia="Times New Roman"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6"/>
    <w:multiLevelType w:val="multilevel"/>
    <w:tmpl w:val="00000006"/>
    <w:lvl w:ilvl="0" w:tentative="0">
      <w:start w:val="5"/>
      <w:numFmt w:val="japaneseCounting"/>
      <w:pStyle w:val="219"/>
      <w:lvlText w:val="第%1章"/>
      <w:lvlJc w:val="left"/>
      <w:pPr>
        <w:tabs>
          <w:tab w:val="left" w:pos="1455"/>
        </w:tabs>
        <w:ind w:left="1455" w:hanging="1455"/>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000007"/>
    <w:multiLevelType w:val="singleLevel"/>
    <w:tmpl w:val="00000007"/>
    <w:lvl w:ilvl="0" w:tentative="0">
      <w:start w:val="2"/>
      <w:numFmt w:val="chineseCounting"/>
      <w:suff w:val="space"/>
      <w:lvlText w:val="（%1）"/>
      <w:lvlJc w:val="left"/>
    </w:lvl>
  </w:abstractNum>
  <w:abstractNum w:abstractNumId="6">
    <w:nsid w:val="00000008"/>
    <w:multiLevelType w:val="singleLevel"/>
    <w:tmpl w:val="00000008"/>
    <w:lvl w:ilvl="0" w:tentative="0">
      <w:start w:val="1"/>
      <w:numFmt w:val="upperLetter"/>
      <w:pStyle w:val="247"/>
      <w:lvlText w:val="附录%1."/>
      <w:lvlJc w:val="left"/>
      <w:pPr>
        <w:tabs>
          <w:tab w:val="left" w:pos="907"/>
        </w:tabs>
        <w:ind w:left="907" w:hanging="907"/>
      </w:pPr>
      <w:rPr>
        <w:rFonts w:hint="eastAsia"/>
      </w:rPr>
    </w:lvl>
  </w:abstractNum>
  <w:abstractNum w:abstractNumId="7">
    <w:nsid w:val="00000009"/>
    <w:multiLevelType w:val="singleLevel"/>
    <w:tmpl w:val="00000009"/>
    <w:lvl w:ilvl="0" w:tentative="0">
      <w:start w:val="1"/>
      <w:numFmt w:val="japaneseCounting"/>
      <w:pStyle w:val="378"/>
      <w:lvlText w:val="第%1章"/>
      <w:lvlJc w:val="left"/>
      <w:pPr>
        <w:tabs>
          <w:tab w:val="left" w:pos="1440"/>
        </w:tabs>
        <w:ind w:left="1440" w:hanging="1440"/>
      </w:pPr>
      <w:rPr>
        <w:rFonts w:hint="eastAsia" w:ascii="华文中宋" w:hAnsi="华文中宋" w:eastAsia="华文中宋"/>
        <w:b w:val="0"/>
        <w:sz w:val="32"/>
        <w:szCs w:val="32"/>
      </w:rPr>
    </w:lvl>
  </w:abstractNum>
  <w:abstractNum w:abstractNumId="8">
    <w:nsid w:val="0000000A"/>
    <w:multiLevelType w:val="multilevel"/>
    <w:tmpl w:val="0000000A"/>
    <w:lvl w:ilvl="0" w:tentative="0">
      <w:start w:val="1"/>
      <w:numFmt w:val="decimal"/>
      <w:pStyle w:val="12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pStyle w:val="285"/>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000000B"/>
    <w:multiLevelType w:val="multilevel"/>
    <w:tmpl w:val="0000000B"/>
    <w:lvl w:ilvl="0" w:tentative="0">
      <w:start w:val="1"/>
      <w:numFmt w:val="chineseCountingThousand"/>
      <w:pStyle w:val="372"/>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0">
    <w:nsid w:val="0000000C"/>
    <w:multiLevelType w:val="multilevel"/>
    <w:tmpl w:val="0000000C"/>
    <w:lvl w:ilvl="0" w:tentative="0">
      <w:start w:val="1"/>
      <w:numFmt w:val="bullet"/>
      <w:pStyle w:val="326"/>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11">
    <w:nsid w:val="0000000D"/>
    <w:multiLevelType w:val="multilevel"/>
    <w:tmpl w:val="0000000D"/>
    <w:lvl w:ilvl="0" w:tentative="0">
      <w:start w:val="1"/>
      <w:numFmt w:val="decimal"/>
      <w:suff w:val="space"/>
      <w:lvlText w:val="第%1章"/>
      <w:lvlJc w:val="left"/>
      <w:pPr>
        <w:tabs>
          <w:tab w:val="left" w:pos="0"/>
        </w:tabs>
        <w:ind w:left="0" w:firstLine="0"/>
      </w:pPr>
      <w:rPr>
        <w:rFonts w:hint="default" w:ascii="Times New Roman" w:hAnsi="Times New Roman" w:eastAsia="黑体" w:cs="Times New Roman"/>
        <w:b w:val="0"/>
        <w:bCs w:val="0"/>
        <w:i w:val="0"/>
        <w:iCs w:val="0"/>
        <w:caps w:val="0"/>
        <w:smallCaps w:val="0"/>
        <w:vanish w:val="0"/>
        <w:color w:val="auto"/>
        <w:spacing w:val="0"/>
        <w:position w:val="0"/>
        <w:sz w:val="44"/>
        <w:u w:val="none"/>
        <w:vertAlign w:val="baseline"/>
      </w:rPr>
    </w:lvl>
    <w:lvl w:ilvl="1" w:tentative="0">
      <w:start w:val="1"/>
      <w:numFmt w:val="decimal"/>
      <w:pStyle w:val="114"/>
      <w:isLgl/>
      <w:suff w:val="space"/>
      <w:lvlText w:val="%1.%2"/>
      <w:lvlJc w:val="left"/>
      <w:pPr>
        <w:tabs>
          <w:tab w:val="left" w:pos="0"/>
        </w:tabs>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标记%1.%2.%3.%4.%5.%6.%7.%8.%9."/>
      <w:lvlJc w:val="left"/>
      <w:pPr>
        <w:tabs>
          <w:tab w:val="left" w:pos="420"/>
        </w:tabs>
        <w:ind w:left="1559" w:hanging="1559"/>
      </w:pPr>
      <w:rPr>
        <w:rFonts w:hint="default" w:ascii="宋体" w:hAnsi="宋体" w:eastAsia="宋体" w:cs="宋体"/>
      </w:rPr>
    </w:lvl>
  </w:abstractNum>
  <w:abstractNum w:abstractNumId="12">
    <w:nsid w:val="0000000E"/>
    <w:multiLevelType w:val="multilevel"/>
    <w:tmpl w:val="0000000E"/>
    <w:lvl w:ilvl="0" w:tentative="0">
      <w:start w:val="1"/>
      <w:numFmt w:val="decimal"/>
      <w:suff w:val="space"/>
      <w:lvlText w:val="第%1章"/>
      <w:lvlJc w:val="left"/>
      <w:pPr>
        <w:ind w:left="0" w:firstLine="0"/>
      </w:pPr>
      <w:rPr>
        <w:rFonts w:hint="default" w:ascii="Times New Roman" w:hAnsi="Times New Roman" w:eastAsia="黑体" w:cs="Times New Roman"/>
        <w:b w:val="0"/>
        <w:bCs w:val="0"/>
        <w:i w:val="0"/>
        <w:iCs w:val="0"/>
        <w:caps w:val="0"/>
        <w:smallCaps w:val="0"/>
        <w:vanish w:val="0"/>
        <w:color w:val="auto"/>
        <w:spacing w:val="0"/>
        <w:position w:val="0"/>
        <w:sz w:val="44"/>
        <w:u w:val="none"/>
        <w:vertAlign w:val="baseline"/>
        <w14:shadow w14:blurRad="0" w14:dist="0" w14:dir="0" w14:sx="0" w14:sy="0" w14:kx="0" w14:ky="0" w14:algn="none">
          <w14:srgbClr w14:val="000000"/>
        </w14:shadow>
      </w:rPr>
    </w:lvl>
    <w:lvl w:ilvl="1" w:tentative="0">
      <w:start w:val="1"/>
      <w:numFmt w:val="decimal"/>
      <w:isLg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pStyle w:val="444"/>
      <w:suff w:val="space"/>
      <w:lvlText w:val="%1.%2.%3.%4"/>
      <w:lvlJc w:val="left"/>
      <w:pPr>
        <w:ind w:left="0" w:firstLine="0"/>
      </w:p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99512C8"/>
    <w:multiLevelType w:val="singleLevel"/>
    <w:tmpl w:val="099512C8"/>
    <w:lvl w:ilvl="0" w:tentative="0">
      <w:start w:val="3"/>
      <w:numFmt w:val="decimal"/>
      <w:suff w:val="nothing"/>
      <w:lvlText w:val="%1、"/>
      <w:lvlJc w:val="left"/>
    </w:lvl>
  </w:abstractNum>
  <w:abstractNum w:abstractNumId="14">
    <w:nsid w:val="22A25A30"/>
    <w:multiLevelType w:val="multilevel"/>
    <w:tmpl w:val="22A25A3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9"/>
  </w:num>
  <w:num w:numId="2">
    <w:abstractNumId w:val="11"/>
  </w:num>
  <w:num w:numId="3">
    <w:abstractNumId w:val="8"/>
  </w:num>
  <w:num w:numId="4">
    <w:abstractNumId w:val="0"/>
  </w:num>
  <w:num w:numId="5">
    <w:abstractNumId w:val="4"/>
  </w:num>
  <w:num w:numId="6">
    <w:abstractNumId w:val="6"/>
  </w:num>
  <w:num w:numId="7">
    <w:abstractNumId w:val="1"/>
  </w:num>
  <w:num w:numId="8">
    <w:abstractNumId w:val="10"/>
  </w:num>
  <w:num w:numId="9">
    <w:abstractNumId w:val="5"/>
  </w:num>
  <w:num w:numId="10">
    <w:abstractNumId w:val="2"/>
  </w:num>
  <w:num w:numId="11">
    <w:abstractNumId w:val="7"/>
  </w:num>
  <w:num w:numId="12">
    <w:abstractNumId w:val="3"/>
  </w:num>
  <w:num w:numId="13">
    <w:abstractNumId w:val="12"/>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lOTI5YWQwYjE1MzY1MTdhYThmOTU3NTc4ZjkyNGUifQ=="/>
  </w:docVars>
  <w:rsids>
    <w:rsidRoot w:val="00172A27"/>
    <w:rsid w:val="000008DC"/>
    <w:rsid w:val="00001ED9"/>
    <w:rsid w:val="0000267C"/>
    <w:rsid w:val="0000293D"/>
    <w:rsid w:val="00002B3B"/>
    <w:rsid w:val="0000302E"/>
    <w:rsid w:val="00003ABA"/>
    <w:rsid w:val="00005C74"/>
    <w:rsid w:val="00007549"/>
    <w:rsid w:val="00010228"/>
    <w:rsid w:val="00010C72"/>
    <w:rsid w:val="00012368"/>
    <w:rsid w:val="000136A9"/>
    <w:rsid w:val="00013C46"/>
    <w:rsid w:val="00014B86"/>
    <w:rsid w:val="000151F6"/>
    <w:rsid w:val="000167CF"/>
    <w:rsid w:val="00016922"/>
    <w:rsid w:val="00017768"/>
    <w:rsid w:val="000203DB"/>
    <w:rsid w:val="00020B1A"/>
    <w:rsid w:val="00020E75"/>
    <w:rsid w:val="000219E4"/>
    <w:rsid w:val="00021BF4"/>
    <w:rsid w:val="00022252"/>
    <w:rsid w:val="00024451"/>
    <w:rsid w:val="00026197"/>
    <w:rsid w:val="000262E5"/>
    <w:rsid w:val="00026F32"/>
    <w:rsid w:val="00030735"/>
    <w:rsid w:val="00031FD2"/>
    <w:rsid w:val="00033E17"/>
    <w:rsid w:val="000346C7"/>
    <w:rsid w:val="000424BF"/>
    <w:rsid w:val="0004358C"/>
    <w:rsid w:val="00043D44"/>
    <w:rsid w:val="000440FF"/>
    <w:rsid w:val="0004494D"/>
    <w:rsid w:val="00045F91"/>
    <w:rsid w:val="00051656"/>
    <w:rsid w:val="00051CDA"/>
    <w:rsid w:val="00052B10"/>
    <w:rsid w:val="00053640"/>
    <w:rsid w:val="00056980"/>
    <w:rsid w:val="000579D5"/>
    <w:rsid w:val="00057E98"/>
    <w:rsid w:val="00057F13"/>
    <w:rsid w:val="00060822"/>
    <w:rsid w:val="000616CA"/>
    <w:rsid w:val="0006392A"/>
    <w:rsid w:val="0006694A"/>
    <w:rsid w:val="000669B7"/>
    <w:rsid w:val="00067F22"/>
    <w:rsid w:val="0007077A"/>
    <w:rsid w:val="00071033"/>
    <w:rsid w:val="00071761"/>
    <w:rsid w:val="00072E47"/>
    <w:rsid w:val="00072EC8"/>
    <w:rsid w:val="00073556"/>
    <w:rsid w:val="000748C6"/>
    <w:rsid w:val="00076638"/>
    <w:rsid w:val="00077313"/>
    <w:rsid w:val="00077494"/>
    <w:rsid w:val="00077CBE"/>
    <w:rsid w:val="00080A19"/>
    <w:rsid w:val="000813BC"/>
    <w:rsid w:val="00081965"/>
    <w:rsid w:val="00081DCC"/>
    <w:rsid w:val="000822A0"/>
    <w:rsid w:val="0008326F"/>
    <w:rsid w:val="00085417"/>
    <w:rsid w:val="000910F1"/>
    <w:rsid w:val="000911C1"/>
    <w:rsid w:val="00095276"/>
    <w:rsid w:val="0009556E"/>
    <w:rsid w:val="000955D7"/>
    <w:rsid w:val="00097A3B"/>
    <w:rsid w:val="00097B25"/>
    <w:rsid w:val="00097C24"/>
    <w:rsid w:val="000A081F"/>
    <w:rsid w:val="000A1532"/>
    <w:rsid w:val="000A4C65"/>
    <w:rsid w:val="000A53A3"/>
    <w:rsid w:val="000A7C80"/>
    <w:rsid w:val="000B1CBD"/>
    <w:rsid w:val="000B2B43"/>
    <w:rsid w:val="000B3273"/>
    <w:rsid w:val="000B7D01"/>
    <w:rsid w:val="000C0663"/>
    <w:rsid w:val="000C1F8B"/>
    <w:rsid w:val="000C284B"/>
    <w:rsid w:val="000C4134"/>
    <w:rsid w:val="000C4753"/>
    <w:rsid w:val="000C4FB5"/>
    <w:rsid w:val="000C5503"/>
    <w:rsid w:val="000C6760"/>
    <w:rsid w:val="000D222C"/>
    <w:rsid w:val="000D2F75"/>
    <w:rsid w:val="000D43B9"/>
    <w:rsid w:val="000E08A3"/>
    <w:rsid w:val="000E15AF"/>
    <w:rsid w:val="000E3D25"/>
    <w:rsid w:val="000E589D"/>
    <w:rsid w:val="000E59B0"/>
    <w:rsid w:val="000E59DB"/>
    <w:rsid w:val="000E66A1"/>
    <w:rsid w:val="000F00B9"/>
    <w:rsid w:val="000F0EDC"/>
    <w:rsid w:val="000F183E"/>
    <w:rsid w:val="000F1D10"/>
    <w:rsid w:val="000F2391"/>
    <w:rsid w:val="000F3DCC"/>
    <w:rsid w:val="000F437D"/>
    <w:rsid w:val="000F60BE"/>
    <w:rsid w:val="000F6750"/>
    <w:rsid w:val="000F6DAB"/>
    <w:rsid w:val="00100B44"/>
    <w:rsid w:val="001034E7"/>
    <w:rsid w:val="0010374F"/>
    <w:rsid w:val="00103FA9"/>
    <w:rsid w:val="00103FC0"/>
    <w:rsid w:val="00105FAC"/>
    <w:rsid w:val="00106E76"/>
    <w:rsid w:val="001104C5"/>
    <w:rsid w:val="0011161C"/>
    <w:rsid w:val="0011228D"/>
    <w:rsid w:val="00112A3D"/>
    <w:rsid w:val="00112D00"/>
    <w:rsid w:val="00113874"/>
    <w:rsid w:val="00113D2D"/>
    <w:rsid w:val="001150A9"/>
    <w:rsid w:val="00115C7D"/>
    <w:rsid w:val="00117CBA"/>
    <w:rsid w:val="00122791"/>
    <w:rsid w:val="00124C51"/>
    <w:rsid w:val="0012544F"/>
    <w:rsid w:val="00125AE1"/>
    <w:rsid w:val="00130677"/>
    <w:rsid w:val="00130BA7"/>
    <w:rsid w:val="00132AFE"/>
    <w:rsid w:val="00133B47"/>
    <w:rsid w:val="001342AF"/>
    <w:rsid w:val="001348A8"/>
    <w:rsid w:val="0013537C"/>
    <w:rsid w:val="0014028D"/>
    <w:rsid w:val="00140623"/>
    <w:rsid w:val="00141A82"/>
    <w:rsid w:val="00141B9F"/>
    <w:rsid w:val="00142AE0"/>
    <w:rsid w:val="00144BBF"/>
    <w:rsid w:val="00146160"/>
    <w:rsid w:val="001474DB"/>
    <w:rsid w:val="0014756C"/>
    <w:rsid w:val="00150829"/>
    <w:rsid w:val="0015128E"/>
    <w:rsid w:val="00151D88"/>
    <w:rsid w:val="0015305C"/>
    <w:rsid w:val="001531CE"/>
    <w:rsid w:val="0015337D"/>
    <w:rsid w:val="00154083"/>
    <w:rsid w:val="001544DF"/>
    <w:rsid w:val="001553A6"/>
    <w:rsid w:val="001553F8"/>
    <w:rsid w:val="00155DEF"/>
    <w:rsid w:val="00155E17"/>
    <w:rsid w:val="001565F9"/>
    <w:rsid w:val="00156819"/>
    <w:rsid w:val="00156AF9"/>
    <w:rsid w:val="00161DD9"/>
    <w:rsid w:val="001635B2"/>
    <w:rsid w:val="00163CA8"/>
    <w:rsid w:val="00164F1C"/>
    <w:rsid w:val="00165BA0"/>
    <w:rsid w:val="00165C4B"/>
    <w:rsid w:val="00166A51"/>
    <w:rsid w:val="00166B52"/>
    <w:rsid w:val="00167B7F"/>
    <w:rsid w:val="001700EA"/>
    <w:rsid w:val="001700F8"/>
    <w:rsid w:val="0017032C"/>
    <w:rsid w:val="00172A27"/>
    <w:rsid w:val="00173258"/>
    <w:rsid w:val="00177AD9"/>
    <w:rsid w:val="00181D70"/>
    <w:rsid w:val="0018349D"/>
    <w:rsid w:val="00183CE5"/>
    <w:rsid w:val="001847E0"/>
    <w:rsid w:val="0018686A"/>
    <w:rsid w:val="0018725F"/>
    <w:rsid w:val="00191D1A"/>
    <w:rsid w:val="00192149"/>
    <w:rsid w:val="0019247F"/>
    <w:rsid w:val="0019285A"/>
    <w:rsid w:val="0019435C"/>
    <w:rsid w:val="001945ED"/>
    <w:rsid w:val="00195238"/>
    <w:rsid w:val="00195F09"/>
    <w:rsid w:val="001975F9"/>
    <w:rsid w:val="001976CE"/>
    <w:rsid w:val="001A2344"/>
    <w:rsid w:val="001A3222"/>
    <w:rsid w:val="001A36EE"/>
    <w:rsid w:val="001A3CE2"/>
    <w:rsid w:val="001A479F"/>
    <w:rsid w:val="001A6E62"/>
    <w:rsid w:val="001B0A45"/>
    <w:rsid w:val="001B0B09"/>
    <w:rsid w:val="001B0EDF"/>
    <w:rsid w:val="001B27C2"/>
    <w:rsid w:val="001B4922"/>
    <w:rsid w:val="001B765C"/>
    <w:rsid w:val="001C05E2"/>
    <w:rsid w:val="001C207C"/>
    <w:rsid w:val="001C2326"/>
    <w:rsid w:val="001C3E5C"/>
    <w:rsid w:val="001C502A"/>
    <w:rsid w:val="001C5DFB"/>
    <w:rsid w:val="001C7FC6"/>
    <w:rsid w:val="001D0061"/>
    <w:rsid w:val="001D0DFD"/>
    <w:rsid w:val="001D422D"/>
    <w:rsid w:val="001D49F1"/>
    <w:rsid w:val="001D53A0"/>
    <w:rsid w:val="001D7DF5"/>
    <w:rsid w:val="001E2BFE"/>
    <w:rsid w:val="001E2C5A"/>
    <w:rsid w:val="001E3C39"/>
    <w:rsid w:val="001E413F"/>
    <w:rsid w:val="001E52E8"/>
    <w:rsid w:val="001E75B7"/>
    <w:rsid w:val="001E7E70"/>
    <w:rsid w:val="001F03D9"/>
    <w:rsid w:val="001F325A"/>
    <w:rsid w:val="001F471E"/>
    <w:rsid w:val="001F5DED"/>
    <w:rsid w:val="001F6043"/>
    <w:rsid w:val="001F6C22"/>
    <w:rsid w:val="001F6EE3"/>
    <w:rsid w:val="00206E13"/>
    <w:rsid w:val="00206FF9"/>
    <w:rsid w:val="00207FD2"/>
    <w:rsid w:val="00212398"/>
    <w:rsid w:val="002149E1"/>
    <w:rsid w:val="002157D4"/>
    <w:rsid w:val="00215D31"/>
    <w:rsid w:val="00216A22"/>
    <w:rsid w:val="002200A9"/>
    <w:rsid w:val="0022141D"/>
    <w:rsid w:val="00221B7D"/>
    <w:rsid w:val="00223DDE"/>
    <w:rsid w:val="00223F0A"/>
    <w:rsid w:val="002251E9"/>
    <w:rsid w:val="00226AA6"/>
    <w:rsid w:val="00227E59"/>
    <w:rsid w:val="00230F5A"/>
    <w:rsid w:val="00232274"/>
    <w:rsid w:val="00233DFD"/>
    <w:rsid w:val="002351EB"/>
    <w:rsid w:val="00235205"/>
    <w:rsid w:val="002374C5"/>
    <w:rsid w:val="00237630"/>
    <w:rsid w:val="0023785C"/>
    <w:rsid w:val="00240D7A"/>
    <w:rsid w:val="00242A4D"/>
    <w:rsid w:val="00246137"/>
    <w:rsid w:val="0024682A"/>
    <w:rsid w:val="00250601"/>
    <w:rsid w:val="00250D21"/>
    <w:rsid w:val="00252C22"/>
    <w:rsid w:val="002536D5"/>
    <w:rsid w:val="00257AE7"/>
    <w:rsid w:val="00260482"/>
    <w:rsid w:val="00261034"/>
    <w:rsid w:val="002611D1"/>
    <w:rsid w:val="002620A9"/>
    <w:rsid w:val="00262674"/>
    <w:rsid w:val="002627C7"/>
    <w:rsid w:val="0026284F"/>
    <w:rsid w:val="00264080"/>
    <w:rsid w:val="00264960"/>
    <w:rsid w:val="00266025"/>
    <w:rsid w:val="0027107A"/>
    <w:rsid w:val="002710BF"/>
    <w:rsid w:val="00272850"/>
    <w:rsid w:val="0027364A"/>
    <w:rsid w:val="002757E2"/>
    <w:rsid w:val="0027701F"/>
    <w:rsid w:val="00281E3C"/>
    <w:rsid w:val="002831AF"/>
    <w:rsid w:val="00284049"/>
    <w:rsid w:val="00285B7A"/>
    <w:rsid w:val="00285E51"/>
    <w:rsid w:val="00286D5E"/>
    <w:rsid w:val="00290B6C"/>
    <w:rsid w:val="00291B1E"/>
    <w:rsid w:val="00291CE7"/>
    <w:rsid w:val="00293E5F"/>
    <w:rsid w:val="00295768"/>
    <w:rsid w:val="002B27D0"/>
    <w:rsid w:val="002B3267"/>
    <w:rsid w:val="002B5B20"/>
    <w:rsid w:val="002B5E11"/>
    <w:rsid w:val="002B674D"/>
    <w:rsid w:val="002B710D"/>
    <w:rsid w:val="002B7AE2"/>
    <w:rsid w:val="002C0F1C"/>
    <w:rsid w:val="002C1441"/>
    <w:rsid w:val="002C1AC0"/>
    <w:rsid w:val="002C1DD7"/>
    <w:rsid w:val="002C2A27"/>
    <w:rsid w:val="002C3345"/>
    <w:rsid w:val="002C4975"/>
    <w:rsid w:val="002C4E7D"/>
    <w:rsid w:val="002C54D7"/>
    <w:rsid w:val="002C63A2"/>
    <w:rsid w:val="002C66A2"/>
    <w:rsid w:val="002C6AE7"/>
    <w:rsid w:val="002D07FD"/>
    <w:rsid w:val="002D4309"/>
    <w:rsid w:val="002D6171"/>
    <w:rsid w:val="002D619F"/>
    <w:rsid w:val="002D673F"/>
    <w:rsid w:val="002D7A30"/>
    <w:rsid w:val="002D7E22"/>
    <w:rsid w:val="002E11A3"/>
    <w:rsid w:val="002E1CC7"/>
    <w:rsid w:val="002E2541"/>
    <w:rsid w:val="002E2C47"/>
    <w:rsid w:val="002E3E08"/>
    <w:rsid w:val="002E448F"/>
    <w:rsid w:val="002E7F65"/>
    <w:rsid w:val="002F0DF8"/>
    <w:rsid w:val="002F1A3F"/>
    <w:rsid w:val="002F1EBA"/>
    <w:rsid w:val="002F25E6"/>
    <w:rsid w:val="002F5630"/>
    <w:rsid w:val="002F5A82"/>
    <w:rsid w:val="002F689F"/>
    <w:rsid w:val="002F70A3"/>
    <w:rsid w:val="002F70CE"/>
    <w:rsid w:val="002F7771"/>
    <w:rsid w:val="0030354C"/>
    <w:rsid w:val="0030388B"/>
    <w:rsid w:val="00303F39"/>
    <w:rsid w:val="00304F35"/>
    <w:rsid w:val="00306E6F"/>
    <w:rsid w:val="00310407"/>
    <w:rsid w:val="00310BA6"/>
    <w:rsid w:val="00310D4B"/>
    <w:rsid w:val="0031170F"/>
    <w:rsid w:val="00312CBB"/>
    <w:rsid w:val="003157AA"/>
    <w:rsid w:val="0031653D"/>
    <w:rsid w:val="00321820"/>
    <w:rsid w:val="00324212"/>
    <w:rsid w:val="0032441F"/>
    <w:rsid w:val="00326015"/>
    <w:rsid w:val="00326C77"/>
    <w:rsid w:val="003270A4"/>
    <w:rsid w:val="00327F1D"/>
    <w:rsid w:val="0033041F"/>
    <w:rsid w:val="0033172E"/>
    <w:rsid w:val="00331919"/>
    <w:rsid w:val="00333052"/>
    <w:rsid w:val="00335869"/>
    <w:rsid w:val="00336A86"/>
    <w:rsid w:val="00340A84"/>
    <w:rsid w:val="00341138"/>
    <w:rsid w:val="003422CA"/>
    <w:rsid w:val="00342548"/>
    <w:rsid w:val="003426B8"/>
    <w:rsid w:val="00342E31"/>
    <w:rsid w:val="00342EF7"/>
    <w:rsid w:val="00343D4D"/>
    <w:rsid w:val="003453A7"/>
    <w:rsid w:val="00345AB2"/>
    <w:rsid w:val="00346B78"/>
    <w:rsid w:val="00347D61"/>
    <w:rsid w:val="0035056E"/>
    <w:rsid w:val="00350EB1"/>
    <w:rsid w:val="00352EE9"/>
    <w:rsid w:val="00353CB7"/>
    <w:rsid w:val="00355BD1"/>
    <w:rsid w:val="003574D7"/>
    <w:rsid w:val="00357A51"/>
    <w:rsid w:val="00357CC6"/>
    <w:rsid w:val="003607EB"/>
    <w:rsid w:val="0036168C"/>
    <w:rsid w:val="00361A3F"/>
    <w:rsid w:val="00363AE7"/>
    <w:rsid w:val="003666BB"/>
    <w:rsid w:val="00367385"/>
    <w:rsid w:val="00370128"/>
    <w:rsid w:val="003704CC"/>
    <w:rsid w:val="00370B82"/>
    <w:rsid w:val="00370EFB"/>
    <w:rsid w:val="00371164"/>
    <w:rsid w:val="00371394"/>
    <w:rsid w:val="0037163A"/>
    <w:rsid w:val="0037389E"/>
    <w:rsid w:val="0037431C"/>
    <w:rsid w:val="0037561F"/>
    <w:rsid w:val="00375FFF"/>
    <w:rsid w:val="00376CA5"/>
    <w:rsid w:val="00377235"/>
    <w:rsid w:val="0038122E"/>
    <w:rsid w:val="00381310"/>
    <w:rsid w:val="00381964"/>
    <w:rsid w:val="00383573"/>
    <w:rsid w:val="0038360F"/>
    <w:rsid w:val="00383622"/>
    <w:rsid w:val="00384A06"/>
    <w:rsid w:val="00384EB8"/>
    <w:rsid w:val="003870E0"/>
    <w:rsid w:val="00390C2F"/>
    <w:rsid w:val="00391FEA"/>
    <w:rsid w:val="00392950"/>
    <w:rsid w:val="00394101"/>
    <w:rsid w:val="0039527B"/>
    <w:rsid w:val="00395E75"/>
    <w:rsid w:val="003A0E86"/>
    <w:rsid w:val="003A2D10"/>
    <w:rsid w:val="003A3629"/>
    <w:rsid w:val="003A3803"/>
    <w:rsid w:val="003A48B1"/>
    <w:rsid w:val="003A5C05"/>
    <w:rsid w:val="003A65AF"/>
    <w:rsid w:val="003A6BF6"/>
    <w:rsid w:val="003A6CF4"/>
    <w:rsid w:val="003A7644"/>
    <w:rsid w:val="003A7EFC"/>
    <w:rsid w:val="003B0999"/>
    <w:rsid w:val="003B482A"/>
    <w:rsid w:val="003B5680"/>
    <w:rsid w:val="003C0562"/>
    <w:rsid w:val="003C22CE"/>
    <w:rsid w:val="003C47E1"/>
    <w:rsid w:val="003C4CD0"/>
    <w:rsid w:val="003C4E41"/>
    <w:rsid w:val="003C62DD"/>
    <w:rsid w:val="003C6A19"/>
    <w:rsid w:val="003C7489"/>
    <w:rsid w:val="003D0178"/>
    <w:rsid w:val="003D0E09"/>
    <w:rsid w:val="003D2C95"/>
    <w:rsid w:val="003D2D8B"/>
    <w:rsid w:val="003D3440"/>
    <w:rsid w:val="003D3C86"/>
    <w:rsid w:val="003D495B"/>
    <w:rsid w:val="003D5DA9"/>
    <w:rsid w:val="003D78F7"/>
    <w:rsid w:val="003E09C2"/>
    <w:rsid w:val="003E09C4"/>
    <w:rsid w:val="003E4AA2"/>
    <w:rsid w:val="003E4F40"/>
    <w:rsid w:val="003F025D"/>
    <w:rsid w:val="003F188E"/>
    <w:rsid w:val="003F40E3"/>
    <w:rsid w:val="003F4265"/>
    <w:rsid w:val="003F6799"/>
    <w:rsid w:val="003F6B61"/>
    <w:rsid w:val="003F6D69"/>
    <w:rsid w:val="003F6E07"/>
    <w:rsid w:val="0040100E"/>
    <w:rsid w:val="004011AD"/>
    <w:rsid w:val="0040172F"/>
    <w:rsid w:val="00402651"/>
    <w:rsid w:val="0040280D"/>
    <w:rsid w:val="0040332E"/>
    <w:rsid w:val="00403E0F"/>
    <w:rsid w:val="00404F58"/>
    <w:rsid w:val="0040534A"/>
    <w:rsid w:val="0040711E"/>
    <w:rsid w:val="004105F7"/>
    <w:rsid w:val="0041150D"/>
    <w:rsid w:val="004121F7"/>
    <w:rsid w:val="0041342F"/>
    <w:rsid w:val="00413B23"/>
    <w:rsid w:val="00415224"/>
    <w:rsid w:val="0041564B"/>
    <w:rsid w:val="004177D6"/>
    <w:rsid w:val="00420F52"/>
    <w:rsid w:val="00422B7A"/>
    <w:rsid w:val="00422C9C"/>
    <w:rsid w:val="00422E14"/>
    <w:rsid w:val="0042500C"/>
    <w:rsid w:val="00425783"/>
    <w:rsid w:val="00426F0E"/>
    <w:rsid w:val="00431175"/>
    <w:rsid w:val="00433030"/>
    <w:rsid w:val="0043335F"/>
    <w:rsid w:val="00440A86"/>
    <w:rsid w:val="0044114B"/>
    <w:rsid w:val="0044166A"/>
    <w:rsid w:val="004430A6"/>
    <w:rsid w:val="00443D5B"/>
    <w:rsid w:val="00445089"/>
    <w:rsid w:val="004451A0"/>
    <w:rsid w:val="004455DF"/>
    <w:rsid w:val="00446848"/>
    <w:rsid w:val="00446BBB"/>
    <w:rsid w:val="00446D95"/>
    <w:rsid w:val="00447554"/>
    <w:rsid w:val="004509AA"/>
    <w:rsid w:val="00452FB9"/>
    <w:rsid w:val="00454C4B"/>
    <w:rsid w:val="00457EA8"/>
    <w:rsid w:val="00460182"/>
    <w:rsid w:val="004619B6"/>
    <w:rsid w:val="0046418A"/>
    <w:rsid w:val="00465E11"/>
    <w:rsid w:val="00471B6B"/>
    <w:rsid w:val="00474C34"/>
    <w:rsid w:val="004772A3"/>
    <w:rsid w:val="004777EA"/>
    <w:rsid w:val="00477F0C"/>
    <w:rsid w:val="00483392"/>
    <w:rsid w:val="00485BEE"/>
    <w:rsid w:val="0048687A"/>
    <w:rsid w:val="00486EA3"/>
    <w:rsid w:val="004904DE"/>
    <w:rsid w:val="0049092A"/>
    <w:rsid w:val="0049094B"/>
    <w:rsid w:val="00491A5A"/>
    <w:rsid w:val="0049243E"/>
    <w:rsid w:val="00492B56"/>
    <w:rsid w:val="00493365"/>
    <w:rsid w:val="00495271"/>
    <w:rsid w:val="004A1765"/>
    <w:rsid w:val="004A591F"/>
    <w:rsid w:val="004A5EA2"/>
    <w:rsid w:val="004A768D"/>
    <w:rsid w:val="004B0D3B"/>
    <w:rsid w:val="004B1F11"/>
    <w:rsid w:val="004B2C28"/>
    <w:rsid w:val="004B3954"/>
    <w:rsid w:val="004B7727"/>
    <w:rsid w:val="004C0BFA"/>
    <w:rsid w:val="004C0C98"/>
    <w:rsid w:val="004C0D70"/>
    <w:rsid w:val="004C2A14"/>
    <w:rsid w:val="004C4D22"/>
    <w:rsid w:val="004C5E1E"/>
    <w:rsid w:val="004D09ED"/>
    <w:rsid w:val="004D0F9F"/>
    <w:rsid w:val="004D1145"/>
    <w:rsid w:val="004D1C5B"/>
    <w:rsid w:val="004D4ADD"/>
    <w:rsid w:val="004D4CC4"/>
    <w:rsid w:val="004D5458"/>
    <w:rsid w:val="004E0623"/>
    <w:rsid w:val="004E25F9"/>
    <w:rsid w:val="004E2D93"/>
    <w:rsid w:val="004E33A4"/>
    <w:rsid w:val="004E4B97"/>
    <w:rsid w:val="004E4F99"/>
    <w:rsid w:val="004E7709"/>
    <w:rsid w:val="004E7F3B"/>
    <w:rsid w:val="004F13EC"/>
    <w:rsid w:val="004F1A93"/>
    <w:rsid w:val="004F1E9B"/>
    <w:rsid w:val="004F2E2C"/>
    <w:rsid w:val="004F32A6"/>
    <w:rsid w:val="004F4EF5"/>
    <w:rsid w:val="004F674A"/>
    <w:rsid w:val="004F68F8"/>
    <w:rsid w:val="004F72DE"/>
    <w:rsid w:val="004F7723"/>
    <w:rsid w:val="004F7EE7"/>
    <w:rsid w:val="00500C53"/>
    <w:rsid w:val="00501260"/>
    <w:rsid w:val="00502913"/>
    <w:rsid w:val="005079C8"/>
    <w:rsid w:val="005109F4"/>
    <w:rsid w:val="00510B2A"/>
    <w:rsid w:val="0051162D"/>
    <w:rsid w:val="005117AA"/>
    <w:rsid w:val="005125F4"/>
    <w:rsid w:val="00512814"/>
    <w:rsid w:val="00512A57"/>
    <w:rsid w:val="00512BDA"/>
    <w:rsid w:val="00515586"/>
    <w:rsid w:val="00515770"/>
    <w:rsid w:val="00515B74"/>
    <w:rsid w:val="00520B57"/>
    <w:rsid w:val="005212CE"/>
    <w:rsid w:val="005247CF"/>
    <w:rsid w:val="00525B6A"/>
    <w:rsid w:val="00530E12"/>
    <w:rsid w:val="005311C5"/>
    <w:rsid w:val="005323C7"/>
    <w:rsid w:val="00532C40"/>
    <w:rsid w:val="00533051"/>
    <w:rsid w:val="00534CAE"/>
    <w:rsid w:val="00535B2B"/>
    <w:rsid w:val="00536476"/>
    <w:rsid w:val="005406C5"/>
    <w:rsid w:val="00541640"/>
    <w:rsid w:val="0054179D"/>
    <w:rsid w:val="00542883"/>
    <w:rsid w:val="00543707"/>
    <w:rsid w:val="00547617"/>
    <w:rsid w:val="005502D0"/>
    <w:rsid w:val="005508FF"/>
    <w:rsid w:val="005509CF"/>
    <w:rsid w:val="005519C8"/>
    <w:rsid w:val="00551C17"/>
    <w:rsid w:val="00552EF0"/>
    <w:rsid w:val="005543A0"/>
    <w:rsid w:val="0055511C"/>
    <w:rsid w:val="00556E6C"/>
    <w:rsid w:val="00556ECD"/>
    <w:rsid w:val="00560BCD"/>
    <w:rsid w:val="005618D2"/>
    <w:rsid w:val="005620F3"/>
    <w:rsid w:val="00563781"/>
    <w:rsid w:val="00566BAF"/>
    <w:rsid w:val="00570D99"/>
    <w:rsid w:val="00570F0B"/>
    <w:rsid w:val="005717CD"/>
    <w:rsid w:val="00572221"/>
    <w:rsid w:val="00572FC8"/>
    <w:rsid w:val="0057395B"/>
    <w:rsid w:val="00575EFC"/>
    <w:rsid w:val="00576AAD"/>
    <w:rsid w:val="00577A97"/>
    <w:rsid w:val="005807E1"/>
    <w:rsid w:val="00580A16"/>
    <w:rsid w:val="005827C6"/>
    <w:rsid w:val="00583B6D"/>
    <w:rsid w:val="005843BF"/>
    <w:rsid w:val="00585973"/>
    <w:rsid w:val="00586263"/>
    <w:rsid w:val="00586946"/>
    <w:rsid w:val="005874D7"/>
    <w:rsid w:val="00591219"/>
    <w:rsid w:val="00591FAD"/>
    <w:rsid w:val="00592D4C"/>
    <w:rsid w:val="00593C26"/>
    <w:rsid w:val="00593EA2"/>
    <w:rsid w:val="00594C85"/>
    <w:rsid w:val="005962B4"/>
    <w:rsid w:val="00596F78"/>
    <w:rsid w:val="00597217"/>
    <w:rsid w:val="00597658"/>
    <w:rsid w:val="00597B8B"/>
    <w:rsid w:val="005A021E"/>
    <w:rsid w:val="005A1942"/>
    <w:rsid w:val="005A3ED8"/>
    <w:rsid w:val="005A462A"/>
    <w:rsid w:val="005A575C"/>
    <w:rsid w:val="005A628A"/>
    <w:rsid w:val="005A6489"/>
    <w:rsid w:val="005B06C6"/>
    <w:rsid w:val="005B27B0"/>
    <w:rsid w:val="005B2AA1"/>
    <w:rsid w:val="005B3338"/>
    <w:rsid w:val="005B5EA7"/>
    <w:rsid w:val="005B6353"/>
    <w:rsid w:val="005B73D3"/>
    <w:rsid w:val="005B7A91"/>
    <w:rsid w:val="005C0358"/>
    <w:rsid w:val="005C0913"/>
    <w:rsid w:val="005C17C7"/>
    <w:rsid w:val="005C28D9"/>
    <w:rsid w:val="005D08D6"/>
    <w:rsid w:val="005D38BA"/>
    <w:rsid w:val="005D3C66"/>
    <w:rsid w:val="005D58B6"/>
    <w:rsid w:val="005D5ADB"/>
    <w:rsid w:val="005D6833"/>
    <w:rsid w:val="005D7BCE"/>
    <w:rsid w:val="005E09F9"/>
    <w:rsid w:val="005E1EAD"/>
    <w:rsid w:val="005E4C2F"/>
    <w:rsid w:val="005E5DB7"/>
    <w:rsid w:val="005F29AA"/>
    <w:rsid w:val="005F3A19"/>
    <w:rsid w:val="005F4674"/>
    <w:rsid w:val="005F4982"/>
    <w:rsid w:val="005F4E8A"/>
    <w:rsid w:val="005F5D3E"/>
    <w:rsid w:val="006005B8"/>
    <w:rsid w:val="00600807"/>
    <w:rsid w:val="00602948"/>
    <w:rsid w:val="00602DC1"/>
    <w:rsid w:val="006054D7"/>
    <w:rsid w:val="0061084B"/>
    <w:rsid w:val="0061097E"/>
    <w:rsid w:val="00610F64"/>
    <w:rsid w:val="00612184"/>
    <w:rsid w:val="006125DE"/>
    <w:rsid w:val="00612F72"/>
    <w:rsid w:val="0061315C"/>
    <w:rsid w:val="006144BF"/>
    <w:rsid w:val="00615FD7"/>
    <w:rsid w:val="00616B33"/>
    <w:rsid w:val="00620EB6"/>
    <w:rsid w:val="00622D50"/>
    <w:rsid w:val="00623A02"/>
    <w:rsid w:val="00625B58"/>
    <w:rsid w:val="00630237"/>
    <w:rsid w:val="006336AE"/>
    <w:rsid w:val="0063422E"/>
    <w:rsid w:val="00634642"/>
    <w:rsid w:val="006346DC"/>
    <w:rsid w:val="006360B7"/>
    <w:rsid w:val="006378B1"/>
    <w:rsid w:val="00637C21"/>
    <w:rsid w:val="00640893"/>
    <w:rsid w:val="0064490F"/>
    <w:rsid w:val="00644D18"/>
    <w:rsid w:val="00645C0F"/>
    <w:rsid w:val="00646113"/>
    <w:rsid w:val="00646260"/>
    <w:rsid w:val="00647A1F"/>
    <w:rsid w:val="006506AF"/>
    <w:rsid w:val="00651526"/>
    <w:rsid w:val="006519B3"/>
    <w:rsid w:val="00653073"/>
    <w:rsid w:val="00653D02"/>
    <w:rsid w:val="0065437E"/>
    <w:rsid w:val="00655ADE"/>
    <w:rsid w:val="00656063"/>
    <w:rsid w:val="00657F53"/>
    <w:rsid w:val="006606C1"/>
    <w:rsid w:val="00661C23"/>
    <w:rsid w:val="00663C53"/>
    <w:rsid w:val="00664F82"/>
    <w:rsid w:val="00667F51"/>
    <w:rsid w:val="00670068"/>
    <w:rsid w:val="00670BC7"/>
    <w:rsid w:val="00672F10"/>
    <w:rsid w:val="00674B2B"/>
    <w:rsid w:val="006762AB"/>
    <w:rsid w:val="00676378"/>
    <w:rsid w:val="00676AF1"/>
    <w:rsid w:val="00677015"/>
    <w:rsid w:val="00677066"/>
    <w:rsid w:val="0068092C"/>
    <w:rsid w:val="00680CB1"/>
    <w:rsid w:val="00681563"/>
    <w:rsid w:val="006817EA"/>
    <w:rsid w:val="00682CDE"/>
    <w:rsid w:val="00683785"/>
    <w:rsid w:val="00683FDF"/>
    <w:rsid w:val="00684C0F"/>
    <w:rsid w:val="006869AE"/>
    <w:rsid w:val="00687D61"/>
    <w:rsid w:val="0069243C"/>
    <w:rsid w:val="0069285C"/>
    <w:rsid w:val="00693CDC"/>
    <w:rsid w:val="006975FE"/>
    <w:rsid w:val="006A0A57"/>
    <w:rsid w:val="006A1824"/>
    <w:rsid w:val="006A1AA1"/>
    <w:rsid w:val="006A2049"/>
    <w:rsid w:val="006A21EA"/>
    <w:rsid w:val="006A2EE0"/>
    <w:rsid w:val="006A3AB9"/>
    <w:rsid w:val="006A4822"/>
    <w:rsid w:val="006A4874"/>
    <w:rsid w:val="006A5CBD"/>
    <w:rsid w:val="006A6BC2"/>
    <w:rsid w:val="006B104F"/>
    <w:rsid w:val="006B1B68"/>
    <w:rsid w:val="006B1FA5"/>
    <w:rsid w:val="006B2232"/>
    <w:rsid w:val="006B2B6B"/>
    <w:rsid w:val="006B32FC"/>
    <w:rsid w:val="006B3BCA"/>
    <w:rsid w:val="006B4422"/>
    <w:rsid w:val="006B47BF"/>
    <w:rsid w:val="006B4FB8"/>
    <w:rsid w:val="006B6EFF"/>
    <w:rsid w:val="006C0528"/>
    <w:rsid w:val="006C1DD3"/>
    <w:rsid w:val="006C20BA"/>
    <w:rsid w:val="006C327F"/>
    <w:rsid w:val="006C4754"/>
    <w:rsid w:val="006C664F"/>
    <w:rsid w:val="006C7447"/>
    <w:rsid w:val="006C74B8"/>
    <w:rsid w:val="006C750B"/>
    <w:rsid w:val="006C7984"/>
    <w:rsid w:val="006D03D2"/>
    <w:rsid w:val="006D60B7"/>
    <w:rsid w:val="006D7B8E"/>
    <w:rsid w:val="006E0A02"/>
    <w:rsid w:val="006E159B"/>
    <w:rsid w:val="006E1B96"/>
    <w:rsid w:val="006E2F52"/>
    <w:rsid w:val="006E2FFA"/>
    <w:rsid w:val="006E3F83"/>
    <w:rsid w:val="006E3FD5"/>
    <w:rsid w:val="006E6672"/>
    <w:rsid w:val="006E6843"/>
    <w:rsid w:val="006F13A5"/>
    <w:rsid w:val="006F13B5"/>
    <w:rsid w:val="006F3159"/>
    <w:rsid w:val="006F3359"/>
    <w:rsid w:val="006F4095"/>
    <w:rsid w:val="006F42CC"/>
    <w:rsid w:val="006F4909"/>
    <w:rsid w:val="006F6514"/>
    <w:rsid w:val="006F7297"/>
    <w:rsid w:val="006F7539"/>
    <w:rsid w:val="006F7931"/>
    <w:rsid w:val="00701DFC"/>
    <w:rsid w:val="00703EA8"/>
    <w:rsid w:val="007078F5"/>
    <w:rsid w:val="00707BEB"/>
    <w:rsid w:val="00710727"/>
    <w:rsid w:val="0071174A"/>
    <w:rsid w:val="0071322C"/>
    <w:rsid w:val="00715739"/>
    <w:rsid w:val="0071775A"/>
    <w:rsid w:val="007218FE"/>
    <w:rsid w:val="00722B4E"/>
    <w:rsid w:val="007235A6"/>
    <w:rsid w:val="0072412E"/>
    <w:rsid w:val="00724515"/>
    <w:rsid w:val="00725156"/>
    <w:rsid w:val="00725314"/>
    <w:rsid w:val="00727488"/>
    <w:rsid w:val="007277C5"/>
    <w:rsid w:val="00727958"/>
    <w:rsid w:val="00732108"/>
    <w:rsid w:val="007353DB"/>
    <w:rsid w:val="00737639"/>
    <w:rsid w:val="00737A09"/>
    <w:rsid w:val="00737AD1"/>
    <w:rsid w:val="00741993"/>
    <w:rsid w:val="00742B1A"/>
    <w:rsid w:val="007441D7"/>
    <w:rsid w:val="007443DF"/>
    <w:rsid w:val="007511CC"/>
    <w:rsid w:val="007518AF"/>
    <w:rsid w:val="00751A58"/>
    <w:rsid w:val="007523BA"/>
    <w:rsid w:val="00753E0D"/>
    <w:rsid w:val="00754A39"/>
    <w:rsid w:val="00754E0F"/>
    <w:rsid w:val="00754F1D"/>
    <w:rsid w:val="007563FA"/>
    <w:rsid w:val="0075699C"/>
    <w:rsid w:val="00760A2E"/>
    <w:rsid w:val="00760DFD"/>
    <w:rsid w:val="00762F4D"/>
    <w:rsid w:val="00763578"/>
    <w:rsid w:val="00765499"/>
    <w:rsid w:val="007656BF"/>
    <w:rsid w:val="00766D26"/>
    <w:rsid w:val="00766FA8"/>
    <w:rsid w:val="007709D4"/>
    <w:rsid w:val="0077147D"/>
    <w:rsid w:val="00771514"/>
    <w:rsid w:val="00771532"/>
    <w:rsid w:val="00771EE3"/>
    <w:rsid w:val="00774E9B"/>
    <w:rsid w:val="00775ED6"/>
    <w:rsid w:val="007765FF"/>
    <w:rsid w:val="00776B91"/>
    <w:rsid w:val="00777631"/>
    <w:rsid w:val="00780A98"/>
    <w:rsid w:val="00785515"/>
    <w:rsid w:val="00785895"/>
    <w:rsid w:val="00785D47"/>
    <w:rsid w:val="00786CD2"/>
    <w:rsid w:val="00790ED3"/>
    <w:rsid w:val="00792659"/>
    <w:rsid w:val="007926D7"/>
    <w:rsid w:val="0079342C"/>
    <w:rsid w:val="0079387E"/>
    <w:rsid w:val="00794A54"/>
    <w:rsid w:val="007965C3"/>
    <w:rsid w:val="007A1897"/>
    <w:rsid w:val="007A2375"/>
    <w:rsid w:val="007A4760"/>
    <w:rsid w:val="007A62C4"/>
    <w:rsid w:val="007A6585"/>
    <w:rsid w:val="007A666F"/>
    <w:rsid w:val="007A6C6F"/>
    <w:rsid w:val="007A79BC"/>
    <w:rsid w:val="007B1712"/>
    <w:rsid w:val="007B2B41"/>
    <w:rsid w:val="007B3B63"/>
    <w:rsid w:val="007B5245"/>
    <w:rsid w:val="007B6252"/>
    <w:rsid w:val="007B6DD2"/>
    <w:rsid w:val="007B7160"/>
    <w:rsid w:val="007C1E72"/>
    <w:rsid w:val="007C32E8"/>
    <w:rsid w:val="007C3CBC"/>
    <w:rsid w:val="007C458D"/>
    <w:rsid w:val="007C5261"/>
    <w:rsid w:val="007C53B4"/>
    <w:rsid w:val="007C57BD"/>
    <w:rsid w:val="007C5F0E"/>
    <w:rsid w:val="007C6169"/>
    <w:rsid w:val="007D0307"/>
    <w:rsid w:val="007D1E42"/>
    <w:rsid w:val="007D363B"/>
    <w:rsid w:val="007D40BC"/>
    <w:rsid w:val="007D5A9A"/>
    <w:rsid w:val="007E0CED"/>
    <w:rsid w:val="007E0ED0"/>
    <w:rsid w:val="007E1D35"/>
    <w:rsid w:val="007E1F38"/>
    <w:rsid w:val="007E4545"/>
    <w:rsid w:val="007E4C32"/>
    <w:rsid w:val="007E5584"/>
    <w:rsid w:val="007E585E"/>
    <w:rsid w:val="007E6D4A"/>
    <w:rsid w:val="007E7356"/>
    <w:rsid w:val="007F18D3"/>
    <w:rsid w:val="007F3F84"/>
    <w:rsid w:val="007F4008"/>
    <w:rsid w:val="007F4416"/>
    <w:rsid w:val="007F7876"/>
    <w:rsid w:val="00800BCA"/>
    <w:rsid w:val="00802C34"/>
    <w:rsid w:val="0080318D"/>
    <w:rsid w:val="0080592E"/>
    <w:rsid w:val="00806CA7"/>
    <w:rsid w:val="00807071"/>
    <w:rsid w:val="00807D7A"/>
    <w:rsid w:val="00807FF7"/>
    <w:rsid w:val="00810091"/>
    <w:rsid w:val="008115E9"/>
    <w:rsid w:val="00811F2C"/>
    <w:rsid w:val="0081245D"/>
    <w:rsid w:val="00812E02"/>
    <w:rsid w:val="00815F03"/>
    <w:rsid w:val="00820C30"/>
    <w:rsid w:val="0082261B"/>
    <w:rsid w:val="00824833"/>
    <w:rsid w:val="00824DE5"/>
    <w:rsid w:val="00825FA2"/>
    <w:rsid w:val="0082622D"/>
    <w:rsid w:val="008269D0"/>
    <w:rsid w:val="008348A5"/>
    <w:rsid w:val="0083505C"/>
    <w:rsid w:val="0083513A"/>
    <w:rsid w:val="008355DD"/>
    <w:rsid w:val="00841830"/>
    <w:rsid w:val="00841F91"/>
    <w:rsid w:val="008426A9"/>
    <w:rsid w:val="008430C6"/>
    <w:rsid w:val="008440D6"/>
    <w:rsid w:val="008462DF"/>
    <w:rsid w:val="00847A7A"/>
    <w:rsid w:val="00850B78"/>
    <w:rsid w:val="00851E4B"/>
    <w:rsid w:val="00852D48"/>
    <w:rsid w:val="008539A5"/>
    <w:rsid w:val="00853E74"/>
    <w:rsid w:val="00856517"/>
    <w:rsid w:val="0085683E"/>
    <w:rsid w:val="008575AC"/>
    <w:rsid w:val="00857B23"/>
    <w:rsid w:val="00860CA4"/>
    <w:rsid w:val="008625FB"/>
    <w:rsid w:val="0086279B"/>
    <w:rsid w:val="00863C09"/>
    <w:rsid w:val="008641DA"/>
    <w:rsid w:val="00866F03"/>
    <w:rsid w:val="0086755F"/>
    <w:rsid w:val="00870D7B"/>
    <w:rsid w:val="00873F85"/>
    <w:rsid w:val="00873FCA"/>
    <w:rsid w:val="008835C6"/>
    <w:rsid w:val="0088632E"/>
    <w:rsid w:val="00886F26"/>
    <w:rsid w:val="00887653"/>
    <w:rsid w:val="00893356"/>
    <w:rsid w:val="00893843"/>
    <w:rsid w:val="00894486"/>
    <w:rsid w:val="00895642"/>
    <w:rsid w:val="00895E85"/>
    <w:rsid w:val="0089691C"/>
    <w:rsid w:val="0089734D"/>
    <w:rsid w:val="008975F8"/>
    <w:rsid w:val="008A0795"/>
    <w:rsid w:val="008A0F5D"/>
    <w:rsid w:val="008A5FE6"/>
    <w:rsid w:val="008A7F7D"/>
    <w:rsid w:val="008B2E8C"/>
    <w:rsid w:val="008B5076"/>
    <w:rsid w:val="008B5518"/>
    <w:rsid w:val="008C06A7"/>
    <w:rsid w:val="008C451E"/>
    <w:rsid w:val="008C4637"/>
    <w:rsid w:val="008C4BD6"/>
    <w:rsid w:val="008C4DAC"/>
    <w:rsid w:val="008C4F08"/>
    <w:rsid w:val="008D15A3"/>
    <w:rsid w:val="008D1F88"/>
    <w:rsid w:val="008D3414"/>
    <w:rsid w:val="008D4AD2"/>
    <w:rsid w:val="008D575F"/>
    <w:rsid w:val="008D62E5"/>
    <w:rsid w:val="008E0917"/>
    <w:rsid w:val="008E2C10"/>
    <w:rsid w:val="008E34EA"/>
    <w:rsid w:val="008E3C15"/>
    <w:rsid w:val="008E4534"/>
    <w:rsid w:val="008E52D6"/>
    <w:rsid w:val="008E6408"/>
    <w:rsid w:val="008E68EC"/>
    <w:rsid w:val="008E69B8"/>
    <w:rsid w:val="008E6B44"/>
    <w:rsid w:val="008E7750"/>
    <w:rsid w:val="008F0E53"/>
    <w:rsid w:val="008F149F"/>
    <w:rsid w:val="008F2F24"/>
    <w:rsid w:val="008F33D7"/>
    <w:rsid w:val="008F3E39"/>
    <w:rsid w:val="008F7FFB"/>
    <w:rsid w:val="00901711"/>
    <w:rsid w:val="0090172A"/>
    <w:rsid w:val="009017A4"/>
    <w:rsid w:val="00901921"/>
    <w:rsid w:val="00901979"/>
    <w:rsid w:val="00902563"/>
    <w:rsid w:val="00903AB9"/>
    <w:rsid w:val="00904B2D"/>
    <w:rsid w:val="009055C1"/>
    <w:rsid w:val="00906EFF"/>
    <w:rsid w:val="009122EB"/>
    <w:rsid w:val="00915950"/>
    <w:rsid w:val="009164DC"/>
    <w:rsid w:val="00916B2D"/>
    <w:rsid w:val="009230D3"/>
    <w:rsid w:val="00926957"/>
    <w:rsid w:val="009309FA"/>
    <w:rsid w:val="00931D5B"/>
    <w:rsid w:val="00932036"/>
    <w:rsid w:val="00932E55"/>
    <w:rsid w:val="009340F8"/>
    <w:rsid w:val="009341B7"/>
    <w:rsid w:val="00935BF9"/>
    <w:rsid w:val="00936951"/>
    <w:rsid w:val="00936E4D"/>
    <w:rsid w:val="009404E9"/>
    <w:rsid w:val="00940F32"/>
    <w:rsid w:val="009414B4"/>
    <w:rsid w:val="009424F2"/>
    <w:rsid w:val="009474E9"/>
    <w:rsid w:val="00947A43"/>
    <w:rsid w:val="00951785"/>
    <w:rsid w:val="009522B8"/>
    <w:rsid w:val="009524D6"/>
    <w:rsid w:val="00953F6C"/>
    <w:rsid w:val="009574C5"/>
    <w:rsid w:val="00957848"/>
    <w:rsid w:val="00957D7D"/>
    <w:rsid w:val="00957ECB"/>
    <w:rsid w:val="00960A1C"/>
    <w:rsid w:val="00960AC7"/>
    <w:rsid w:val="00960EFA"/>
    <w:rsid w:val="00960FF2"/>
    <w:rsid w:val="0096182B"/>
    <w:rsid w:val="00964E44"/>
    <w:rsid w:val="0096594D"/>
    <w:rsid w:val="00966A94"/>
    <w:rsid w:val="009677AC"/>
    <w:rsid w:val="00971449"/>
    <w:rsid w:val="00971EC8"/>
    <w:rsid w:val="0097292C"/>
    <w:rsid w:val="00973042"/>
    <w:rsid w:val="00973739"/>
    <w:rsid w:val="00973BFA"/>
    <w:rsid w:val="00974BC6"/>
    <w:rsid w:val="00975C48"/>
    <w:rsid w:val="00980DE8"/>
    <w:rsid w:val="009846F8"/>
    <w:rsid w:val="00986261"/>
    <w:rsid w:val="00990A27"/>
    <w:rsid w:val="009914BB"/>
    <w:rsid w:val="00993311"/>
    <w:rsid w:val="00993346"/>
    <w:rsid w:val="00993FF9"/>
    <w:rsid w:val="0099610C"/>
    <w:rsid w:val="009967AF"/>
    <w:rsid w:val="00997526"/>
    <w:rsid w:val="00997DE7"/>
    <w:rsid w:val="009A07EF"/>
    <w:rsid w:val="009A0ABD"/>
    <w:rsid w:val="009A0DFD"/>
    <w:rsid w:val="009A2580"/>
    <w:rsid w:val="009A3CCF"/>
    <w:rsid w:val="009A45FA"/>
    <w:rsid w:val="009A67F1"/>
    <w:rsid w:val="009B0AE5"/>
    <w:rsid w:val="009B109B"/>
    <w:rsid w:val="009B14A1"/>
    <w:rsid w:val="009B1704"/>
    <w:rsid w:val="009B1CE4"/>
    <w:rsid w:val="009B2D9B"/>
    <w:rsid w:val="009B33FF"/>
    <w:rsid w:val="009B4640"/>
    <w:rsid w:val="009B4AC4"/>
    <w:rsid w:val="009B6D6C"/>
    <w:rsid w:val="009C05B1"/>
    <w:rsid w:val="009C3DC9"/>
    <w:rsid w:val="009C41DB"/>
    <w:rsid w:val="009C4982"/>
    <w:rsid w:val="009C4E5B"/>
    <w:rsid w:val="009C540A"/>
    <w:rsid w:val="009C65DD"/>
    <w:rsid w:val="009C706B"/>
    <w:rsid w:val="009D3041"/>
    <w:rsid w:val="009D3B22"/>
    <w:rsid w:val="009D5646"/>
    <w:rsid w:val="009D595A"/>
    <w:rsid w:val="009D68FF"/>
    <w:rsid w:val="009D6E15"/>
    <w:rsid w:val="009D720B"/>
    <w:rsid w:val="009D7AB0"/>
    <w:rsid w:val="009E0DFF"/>
    <w:rsid w:val="009E1A66"/>
    <w:rsid w:val="009E4956"/>
    <w:rsid w:val="009E566E"/>
    <w:rsid w:val="009E5B51"/>
    <w:rsid w:val="009F1185"/>
    <w:rsid w:val="009F2A7C"/>
    <w:rsid w:val="009F32FE"/>
    <w:rsid w:val="009F3957"/>
    <w:rsid w:val="009F54CB"/>
    <w:rsid w:val="00A00D92"/>
    <w:rsid w:val="00A015C6"/>
    <w:rsid w:val="00A01896"/>
    <w:rsid w:val="00A0210C"/>
    <w:rsid w:val="00A02240"/>
    <w:rsid w:val="00A033B1"/>
    <w:rsid w:val="00A03717"/>
    <w:rsid w:val="00A05724"/>
    <w:rsid w:val="00A067D6"/>
    <w:rsid w:val="00A07008"/>
    <w:rsid w:val="00A1265A"/>
    <w:rsid w:val="00A15527"/>
    <w:rsid w:val="00A166F0"/>
    <w:rsid w:val="00A16AB0"/>
    <w:rsid w:val="00A17555"/>
    <w:rsid w:val="00A20559"/>
    <w:rsid w:val="00A211C3"/>
    <w:rsid w:val="00A219F2"/>
    <w:rsid w:val="00A22936"/>
    <w:rsid w:val="00A231A9"/>
    <w:rsid w:val="00A233FD"/>
    <w:rsid w:val="00A2393E"/>
    <w:rsid w:val="00A2597B"/>
    <w:rsid w:val="00A27572"/>
    <w:rsid w:val="00A3018D"/>
    <w:rsid w:val="00A319D4"/>
    <w:rsid w:val="00A32758"/>
    <w:rsid w:val="00A3295D"/>
    <w:rsid w:val="00A32AD6"/>
    <w:rsid w:val="00A35923"/>
    <w:rsid w:val="00A41DAE"/>
    <w:rsid w:val="00A42676"/>
    <w:rsid w:val="00A4278C"/>
    <w:rsid w:val="00A430C8"/>
    <w:rsid w:val="00A4380A"/>
    <w:rsid w:val="00A43DEE"/>
    <w:rsid w:val="00A463F2"/>
    <w:rsid w:val="00A4750E"/>
    <w:rsid w:val="00A530DE"/>
    <w:rsid w:val="00A53E02"/>
    <w:rsid w:val="00A55344"/>
    <w:rsid w:val="00A565D0"/>
    <w:rsid w:val="00A56DBA"/>
    <w:rsid w:val="00A6152C"/>
    <w:rsid w:val="00A6233F"/>
    <w:rsid w:val="00A62444"/>
    <w:rsid w:val="00A62A54"/>
    <w:rsid w:val="00A6411D"/>
    <w:rsid w:val="00A658DF"/>
    <w:rsid w:val="00A66122"/>
    <w:rsid w:val="00A66296"/>
    <w:rsid w:val="00A666E3"/>
    <w:rsid w:val="00A66B4C"/>
    <w:rsid w:val="00A67D58"/>
    <w:rsid w:val="00A73301"/>
    <w:rsid w:val="00A75AF9"/>
    <w:rsid w:val="00A77771"/>
    <w:rsid w:val="00A8120B"/>
    <w:rsid w:val="00A8741D"/>
    <w:rsid w:val="00A90361"/>
    <w:rsid w:val="00A91EBD"/>
    <w:rsid w:val="00A93CE3"/>
    <w:rsid w:val="00A972F7"/>
    <w:rsid w:val="00A9790F"/>
    <w:rsid w:val="00A97EAA"/>
    <w:rsid w:val="00AA0017"/>
    <w:rsid w:val="00AA0D38"/>
    <w:rsid w:val="00AA11CA"/>
    <w:rsid w:val="00AA2163"/>
    <w:rsid w:val="00AA3CB2"/>
    <w:rsid w:val="00AA43C9"/>
    <w:rsid w:val="00AA6E93"/>
    <w:rsid w:val="00AA7C79"/>
    <w:rsid w:val="00AB194F"/>
    <w:rsid w:val="00AB2730"/>
    <w:rsid w:val="00AB277B"/>
    <w:rsid w:val="00AB2CF3"/>
    <w:rsid w:val="00AB2DBC"/>
    <w:rsid w:val="00AB48B6"/>
    <w:rsid w:val="00AB55BF"/>
    <w:rsid w:val="00AB6821"/>
    <w:rsid w:val="00AB6D5B"/>
    <w:rsid w:val="00AC08C2"/>
    <w:rsid w:val="00AC0E28"/>
    <w:rsid w:val="00AC1B71"/>
    <w:rsid w:val="00AC2E10"/>
    <w:rsid w:val="00AC3366"/>
    <w:rsid w:val="00AC37D5"/>
    <w:rsid w:val="00AC3863"/>
    <w:rsid w:val="00AC39B9"/>
    <w:rsid w:val="00AC3E7B"/>
    <w:rsid w:val="00AC692A"/>
    <w:rsid w:val="00AD00C6"/>
    <w:rsid w:val="00AD0434"/>
    <w:rsid w:val="00AD1E1E"/>
    <w:rsid w:val="00AD2D6D"/>
    <w:rsid w:val="00AD3541"/>
    <w:rsid w:val="00AD396A"/>
    <w:rsid w:val="00AD3AC4"/>
    <w:rsid w:val="00AD5585"/>
    <w:rsid w:val="00AD6193"/>
    <w:rsid w:val="00AD6FA3"/>
    <w:rsid w:val="00AD7BF3"/>
    <w:rsid w:val="00AE151E"/>
    <w:rsid w:val="00AE4919"/>
    <w:rsid w:val="00AE518E"/>
    <w:rsid w:val="00AF044B"/>
    <w:rsid w:val="00AF135C"/>
    <w:rsid w:val="00AF2256"/>
    <w:rsid w:val="00AF6C79"/>
    <w:rsid w:val="00AF7190"/>
    <w:rsid w:val="00AF7525"/>
    <w:rsid w:val="00AF7BED"/>
    <w:rsid w:val="00B005B2"/>
    <w:rsid w:val="00B00D38"/>
    <w:rsid w:val="00B01271"/>
    <w:rsid w:val="00B0180D"/>
    <w:rsid w:val="00B0270A"/>
    <w:rsid w:val="00B03332"/>
    <w:rsid w:val="00B03382"/>
    <w:rsid w:val="00B05019"/>
    <w:rsid w:val="00B050E4"/>
    <w:rsid w:val="00B0570D"/>
    <w:rsid w:val="00B06ED1"/>
    <w:rsid w:val="00B07880"/>
    <w:rsid w:val="00B07893"/>
    <w:rsid w:val="00B103DA"/>
    <w:rsid w:val="00B11689"/>
    <w:rsid w:val="00B120EE"/>
    <w:rsid w:val="00B12751"/>
    <w:rsid w:val="00B12F49"/>
    <w:rsid w:val="00B12FD3"/>
    <w:rsid w:val="00B13C8E"/>
    <w:rsid w:val="00B1405F"/>
    <w:rsid w:val="00B14877"/>
    <w:rsid w:val="00B14B91"/>
    <w:rsid w:val="00B15F35"/>
    <w:rsid w:val="00B166DD"/>
    <w:rsid w:val="00B16B0F"/>
    <w:rsid w:val="00B17C12"/>
    <w:rsid w:val="00B20A2E"/>
    <w:rsid w:val="00B218CC"/>
    <w:rsid w:val="00B21DEC"/>
    <w:rsid w:val="00B22B3E"/>
    <w:rsid w:val="00B22B49"/>
    <w:rsid w:val="00B24246"/>
    <w:rsid w:val="00B242C8"/>
    <w:rsid w:val="00B24C11"/>
    <w:rsid w:val="00B24DA4"/>
    <w:rsid w:val="00B2752E"/>
    <w:rsid w:val="00B276EF"/>
    <w:rsid w:val="00B312A9"/>
    <w:rsid w:val="00B323B4"/>
    <w:rsid w:val="00B335BC"/>
    <w:rsid w:val="00B3425B"/>
    <w:rsid w:val="00B36E60"/>
    <w:rsid w:val="00B40DFB"/>
    <w:rsid w:val="00B4186B"/>
    <w:rsid w:val="00B42A2C"/>
    <w:rsid w:val="00B4404A"/>
    <w:rsid w:val="00B4501F"/>
    <w:rsid w:val="00B452E4"/>
    <w:rsid w:val="00B466AB"/>
    <w:rsid w:val="00B47CD0"/>
    <w:rsid w:val="00B47E21"/>
    <w:rsid w:val="00B5044C"/>
    <w:rsid w:val="00B509D6"/>
    <w:rsid w:val="00B52D73"/>
    <w:rsid w:val="00B53F4C"/>
    <w:rsid w:val="00B56CF3"/>
    <w:rsid w:val="00B6097C"/>
    <w:rsid w:val="00B60F5C"/>
    <w:rsid w:val="00B611EB"/>
    <w:rsid w:val="00B61759"/>
    <w:rsid w:val="00B6267A"/>
    <w:rsid w:val="00B62B2F"/>
    <w:rsid w:val="00B62E87"/>
    <w:rsid w:val="00B63380"/>
    <w:rsid w:val="00B63910"/>
    <w:rsid w:val="00B652F6"/>
    <w:rsid w:val="00B6564C"/>
    <w:rsid w:val="00B670C9"/>
    <w:rsid w:val="00B67134"/>
    <w:rsid w:val="00B72303"/>
    <w:rsid w:val="00B740F0"/>
    <w:rsid w:val="00B74A76"/>
    <w:rsid w:val="00B773C5"/>
    <w:rsid w:val="00B77809"/>
    <w:rsid w:val="00B8115D"/>
    <w:rsid w:val="00B8128A"/>
    <w:rsid w:val="00B824AB"/>
    <w:rsid w:val="00B82E0D"/>
    <w:rsid w:val="00B832A9"/>
    <w:rsid w:val="00B83B14"/>
    <w:rsid w:val="00B873F3"/>
    <w:rsid w:val="00B904EE"/>
    <w:rsid w:val="00B90E3A"/>
    <w:rsid w:val="00B90E57"/>
    <w:rsid w:val="00B918A2"/>
    <w:rsid w:val="00B92A61"/>
    <w:rsid w:val="00B92DA0"/>
    <w:rsid w:val="00B93DE0"/>
    <w:rsid w:val="00B94645"/>
    <w:rsid w:val="00B94D23"/>
    <w:rsid w:val="00B94F3B"/>
    <w:rsid w:val="00B97034"/>
    <w:rsid w:val="00BA06CB"/>
    <w:rsid w:val="00BA183A"/>
    <w:rsid w:val="00BA2742"/>
    <w:rsid w:val="00BA58A1"/>
    <w:rsid w:val="00BA7413"/>
    <w:rsid w:val="00BB01BB"/>
    <w:rsid w:val="00BB12E0"/>
    <w:rsid w:val="00BB4285"/>
    <w:rsid w:val="00BB4F07"/>
    <w:rsid w:val="00BB7D20"/>
    <w:rsid w:val="00BB7D43"/>
    <w:rsid w:val="00BC0107"/>
    <w:rsid w:val="00BC0CD3"/>
    <w:rsid w:val="00BC1AC9"/>
    <w:rsid w:val="00BC216A"/>
    <w:rsid w:val="00BC2260"/>
    <w:rsid w:val="00BC228A"/>
    <w:rsid w:val="00BC26A8"/>
    <w:rsid w:val="00BC4079"/>
    <w:rsid w:val="00BC42B4"/>
    <w:rsid w:val="00BC4D55"/>
    <w:rsid w:val="00BC5F9E"/>
    <w:rsid w:val="00BC624C"/>
    <w:rsid w:val="00BC72E4"/>
    <w:rsid w:val="00BD05FB"/>
    <w:rsid w:val="00BD205C"/>
    <w:rsid w:val="00BD32CE"/>
    <w:rsid w:val="00BD3548"/>
    <w:rsid w:val="00BE1684"/>
    <w:rsid w:val="00BE212C"/>
    <w:rsid w:val="00BE2F2C"/>
    <w:rsid w:val="00BE47B4"/>
    <w:rsid w:val="00BE4F84"/>
    <w:rsid w:val="00BE5E0B"/>
    <w:rsid w:val="00BE6F6C"/>
    <w:rsid w:val="00BF10D5"/>
    <w:rsid w:val="00BF1893"/>
    <w:rsid w:val="00BF201A"/>
    <w:rsid w:val="00BF2064"/>
    <w:rsid w:val="00BF4454"/>
    <w:rsid w:val="00BF541D"/>
    <w:rsid w:val="00C01A32"/>
    <w:rsid w:val="00C02DA8"/>
    <w:rsid w:val="00C03047"/>
    <w:rsid w:val="00C03083"/>
    <w:rsid w:val="00C0422F"/>
    <w:rsid w:val="00C046BB"/>
    <w:rsid w:val="00C06514"/>
    <w:rsid w:val="00C078C7"/>
    <w:rsid w:val="00C10344"/>
    <w:rsid w:val="00C1228C"/>
    <w:rsid w:val="00C1370A"/>
    <w:rsid w:val="00C13742"/>
    <w:rsid w:val="00C17EAE"/>
    <w:rsid w:val="00C20ACC"/>
    <w:rsid w:val="00C23435"/>
    <w:rsid w:val="00C23C36"/>
    <w:rsid w:val="00C32FC5"/>
    <w:rsid w:val="00C33F93"/>
    <w:rsid w:val="00C35C38"/>
    <w:rsid w:val="00C35EFE"/>
    <w:rsid w:val="00C3691C"/>
    <w:rsid w:val="00C37B0E"/>
    <w:rsid w:val="00C40063"/>
    <w:rsid w:val="00C40C85"/>
    <w:rsid w:val="00C41AE8"/>
    <w:rsid w:val="00C43152"/>
    <w:rsid w:val="00C43F1A"/>
    <w:rsid w:val="00C46962"/>
    <w:rsid w:val="00C46F5D"/>
    <w:rsid w:val="00C51B0E"/>
    <w:rsid w:val="00C51D8A"/>
    <w:rsid w:val="00C5267E"/>
    <w:rsid w:val="00C540BA"/>
    <w:rsid w:val="00C54123"/>
    <w:rsid w:val="00C55CA6"/>
    <w:rsid w:val="00C565C6"/>
    <w:rsid w:val="00C5682C"/>
    <w:rsid w:val="00C56D1A"/>
    <w:rsid w:val="00C573F2"/>
    <w:rsid w:val="00C60461"/>
    <w:rsid w:val="00C613F6"/>
    <w:rsid w:val="00C624F9"/>
    <w:rsid w:val="00C628B7"/>
    <w:rsid w:val="00C62D6C"/>
    <w:rsid w:val="00C649B6"/>
    <w:rsid w:val="00C650DC"/>
    <w:rsid w:val="00C663FB"/>
    <w:rsid w:val="00C709E6"/>
    <w:rsid w:val="00C70CDD"/>
    <w:rsid w:val="00C72091"/>
    <w:rsid w:val="00C741C9"/>
    <w:rsid w:val="00C74A51"/>
    <w:rsid w:val="00C759E1"/>
    <w:rsid w:val="00C821EE"/>
    <w:rsid w:val="00C827E0"/>
    <w:rsid w:val="00C84EF0"/>
    <w:rsid w:val="00C8628F"/>
    <w:rsid w:val="00C902F9"/>
    <w:rsid w:val="00C907A4"/>
    <w:rsid w:val="00C91103"/>
    <w:rsid w:val="00C9199C"/>
    <w:rsid w:val="00C934A6"/>
    <w:rsid w:val="00C9358F"/>
    <w:rsid w:val="00C9452A"/>
    <w:rsid w:val="00C97A12"/>
    <w:rsid w:val="00CA1155"/>
    <w:rsid w:val="00CA1B84"/>
    <w:rsid w:val="00CA1F1F"/>
    <w:rsid w:val="00CA3958"/>
    <w:rsid w:val="00CA62F7"/>
    <w:rsid w:val="00CB0124"/>
    <w:rsid w:val="00CB07A3"/>
    <w:rsid w:val="00CB1074"/>
    <w:rsid w:val="00CB10A6"/>
    <w:rsid w:val="00CB13F1"/>
    <w:rsid w:val="00CB1ACE"/>
    <w:rsid w:val="00CB2760"/>
    <w:rsid w:val="00CB3907"/>
    <w:rsid w:val="00CB4359"/>
    <w:rsid w:val="00CB4793"/>
    <w:rsid w:val="00CB5242"/>
    <w:rsid w:val="00CB5278"/>
    <w:rsid w:val="00CB65BA"/>
    <w:rsid w:val="00CB705A"/>
    <w:rsid w:val="00CB70FD"/>
    <w:rsid w:val="00CB7972"/>
    <w:rsid w:val="00CB7B35"/>
    <w:rsid w:val="00CC1B8C"/>
    <w:rsid w:val="00CC2AF8"/>
    <w:rsid w:val="00CC3627"/>
    <w:rsid w:val="00CC4CC7"/>
    <w:rsid w:val="00CC5D30"/>
    <w:rsid w:val="00CD03F1"/>
    <w:rsid w:val="00CD0E48"/>
    <w:rsid w:val="00CD13EF"/>
    <w:rsid w:val="00CD1FE8"/>
    <w:rsid w:val="00CD3903"/>
    <w:rsid w:val="00CD470D"/>
    <w:rsid w:val="00CD64AD"/>
    <w:rsid w:val="00CD672C"/>
    <w:rsid w:val="00CD6DE2"/>
    <w:rsid w:val="00CD70F5"/>
    <w:rsid w:val="00CD74D1"/>
    <w:rsid w:val="00CD7C6E"/>
    <w:rsid w:val="00CE12CC"/>
    <w:rsid w:val="00CE1437"/>
    <w:rsid w:val="00CE2A35"/>
    <w:rsid w:val="00CE409A"/>
    <w:rsid w:val="00CE4840"/>
    <w:rsid w:val="00CE499F"/>
    <w:rsid w:val="00CE56C9"/>
    <w:rsid w:val="00CF25E0"/>
    <w:rsid w:val="00CF3FF1"/>
    <w:rsid w:val="00CF4045"/>
    <w:rsid w:val="00CF657D"/>
    <w:rsid w:val="00CF79B0"/>
    <w:rsid w:val="00D00CBD"/>
    <w:rsid w:val="00D01E3F"/>
    <w:rsid w:val="00D0297F"/>
    <w:rsid w:val="00D0437D"/>
    <w:rsid w:val="00D0765F"/>
    <w:rsid w:val="00D107A3"/>
    <w:rsid w:val="00D10A25"/>
    <w:rsid w:val="00D12E6D"/>
    <w:rsid w:val="00D13530"/>
    <w:rsid w:val="00D13D49"/>
    <w:rsid w:val="00D1538C"/>
    <w:rsid w:val="00D157C7"/>
    <w:rsid w:val="00D16411"/>
    <w:rsid w:val="00D16872"/>
    <w:rsid w:val="00D16F3D"/>
    <w:rsid w:val="00D1708A"/>
    <w:rsid w:val="00D20620"/>
    <w:rsid w:val="00D20D37"/>
    <w:rsid w:val="00D2201C"/>
    <w:rsid w:val="00D268B8"/>
    <w:rsid w:val="00D275D2"/>
    <w:rsid w:val="00D278F2"/>
    <w:rsid w:val="00D27D9A"/>
    <w:rsid w:val="00D32479"/>
    <w:rsid w:val="00D325DA"/>
    <w:rsid w:val="00D33A08"/>
    <w:rsid w:val="00D342C5"/>
    <w:rsid w:val="00D344D2"/>
    <w:rsid w:val="00D34883"/>
    <w:rsid w:val="00D34894"/>
    <w:rsid w:val="00D366ED"/>
    <w:rsid w:val="00D37711"/>
    <w:rsid w:val="00D40534"/>
    <w:rsid w:val="00D408E7"/>
    <w:rsid w:val="00D42039"/>
    <w:rsid w:val="00D439B1"/>
    <w:rsid w:val="00D44D1C"/>
    <w:rsid w:val="00D45725"/>
    <w:rsid w:val="00D46045"/>
    <w:rsid w:val="00D46129"/>
    <w:rsid w:val="00D4662A"/>
    <w:rsid w:val="00D476CB"/>
    <w:rsid w:val="00D50259"/>
    <w:rsid w:val="00D558C8"/>
    <w:rsid w:val="00D5609D"/>
    <w:rsid w:val="00D574FF"/>
    <w:rsid w:val="00D57BBB"/>
    <w:rsid w:val="00D60166"/>
    <w:rsid w:val="00D60EA8"/>
    <w:rsid w:val="00D613EB"/>
    <w:rsid w:val="00D61E7E"/>
    <w:rsid w:val="00D664CA"/>
    <w:rsid w:val="00D66E4F"/>
    <w:rsid w:val="00D6740C"/>
    <w:rsid w:val="00D67B5B"/>
    <w:rsid w:val="00D67D8F"/>
    <w:rsid w:val="00D71C81"/>
    <w:rsid w:val="00D72115"/>
    <w:rsid w:val="00D73631"/>
    <w:rsid w:val="00D736A4"/>
    <w:rsid w:val="00D73850"/>
    <w:rsid w:val="00D74EB7"/>
    <w:rsid w:val="00D75B38"/>
    <w:rsid w:val="00D81672"/>
    <w:rsid w:val="00D81863"/>
    <w:rsid w:val="00D82517"/>
    <w:rsid w:val="00D84AB4"/>
    <w:rsid w:val="00D84DC6"/>
    <w:rsid w:val="00D866CB"/>
    <w:rsid w:val="00D86822"/>
    <w:rsid w:val="00D869D3"/>
    <w:rsid w:val="00D87076"/>
    <w:rsid w:val="00D87D1C"/>
    <w:rsid w:val="00D92015"/>
    <w:rsid w:val="00D92065"/>
    <w:rsid w:val="00D92A1F"/>
    <w:rsid w:val="00D92CE2"/>
    <w:rsid w:val="00D92ECE"/>
    <w:rsid w:val="00D94A3D"/>
    <w:rsid w:val="00D95CA7"/>
    <w:rsid w:val="00D97534"/>
    <w:rsid w:val="00DA00BD"/>
    <w:rsid w:val="00DA14AC"/>
    <w:rsid w:val="00DA206E"/>
    <w:rsid w:val="00DA3EA8"/>
    <w:rsid w:val="00DA454A"/>
    <w:rsid w:val="00DA4F59"/>
    <w:rsid w:val="00DA77F1"/>
    <w:rsid w:val="00DB17D4"/>
    <w:rsid w:val="00DB2A51"/>
    <w:rsid w:val="00DB2D7D"/>
    <w:rsid w:val="00DB3F44"/>
    <w:rsid w:val="00DB441B"/>
    <w:rsid w:val="00DB59C6"/>
    <w:rsid w:val="00DB6D9D"/>
    <w:rsid w:val="00DB7783"/>
    <w:rsid w:val="00DB7BE7"/>
    <w:rsid w:val="00DB7E9E"/>
    <w:rsid w:val="00DC054B"/>
    <w:rsid w:val="00DC3562"/>
    <w:rsid w:val="00DC3D0F"/>
    <w:rsid w:val="00DC4A7E"/>
    <w:rsid w:val="00DC4E45"/>
    <w:rsid w:val="00DC6908"/>
    <w:rsid w:val="00DC7455"/>
    <w:rsid w:val="00DD00BA"/>
    <w:rsid w:val="00DD04AD"/>
    <w:rsid w:val="00DD0FAC"/>
    <w:rsid w:val="00DD26D0"/>
    <w:rsid w:val="00DD419D"/>
    <w:rsid w:val="00DD713C"/>
    <w:rsid w:val="00DE30BB"/>
    <w:rsid w:val="00DE5C6A"/>
    <w:rsid w:val="00DE627C"/>
    <w:rsid w:val="00DE6555"/>
    <w:rsid w:val="00DE73F5"/>
    <w:rsid w:val="00DE75FE"/>
    <w:rsid w:val="00DE7A84"/>
    <w:rsid w:val="00DF0BF8"/>
    <w:rsid w:val="00DF1AD7"/>
    <w:rsid w:val="00DF36D1"/>
    <w:rsid w:val="00DF59E5"/>
    <w:rsid w:val="00DF5DE0"/>
    <w:rsid w:val="00DF677E"/>
    <w:rsid w:val="00DF6C7C"/>
    <w:rsid w:val="00DF7281"/>
    <w:rsid w:val="00DF77F4"/>
    <w:rsid w:val="00E009FF"/>
    <w:rsid w:val="00E014B8"/>
    <w:rsid w:val="00E01908"/>
    <w:rsid w:val="00E01C16"/>
    <w:rsid w:val="00E024B1"/>
    <w:rsid w:val="00E0279B"/>
    <w:rsid w:val="00E0283C"/>
    <w:rsid w:val="00E042EC"/>
    <w:rsid w:val="00E049C4"/>
    <w:rsid w:val="00E04C01"/>
    <w:rsid w:val="00E04E9D"/>
    <w:rsid w:val="00E11B09"/>
    <w:rsid w:val="00E11CCF"/>
    <w:rsid w:val="00E11E90"/>
    <w:rsid w:val="00E124FA"/>
    <w:rsid w:val="00E12C6F"/>
    <w:rsid w:val="00E13036"/>
    <w:rsid w:val="00E14105"/>
    <w:rsid w:val="00E1586A"/>
    <w:rsid w:val="00E16996"/>
    <w:rsid w:val="00E16A81"/>
    <w:rsid w:val="00E170E4"/>
    <w:rsid w:val="00E21457"/>
    <w:rsid w:val="00E21D87"/>
    <w:rsid w:val="00E22C4B"/>
    <w:rsid w:val="00E22F5A"/>
    <w:rsid w:val="00E23D07"/>
    <w:rsid w:val="00E24224"/>
    <w:rsid w:val="00E2533A"/>
    <w:rsid w:val="00E25B5A"/>
    <w:rsid w:val="00E31C72"/>
    <w:rsid w:val="00E334D6"/>
    <w:rsid w:val="00E33A2A"/>
    <w:rsid w:val="00E348F3"/>
    <w:rsid w:val="00E35097"/>
    <w:rsid w:val="00E3623C"/>
    <w:rsid w:val="00E37DBB"/>
    <w:rsid w:val="00E401C5"/>
    <w:rsid w:val="00E4041D"/>
    <w:rsid w:val="00E4509F"/>
    <w:rsid w:val="00E45F40"/>
    <w:rsid w:val="00E46D05"/>
    <w:rsid w:val="00E4789A"/>
    <w:rsid w:val="00E51E4D"/>
    <w:rsid w:val="00E52701"/>
    <w:rsid w:val="00E53308"/>
    <w:rsid w:val="00E538B1"/>
    <w:rsid w:val="00E53D1E"/>
    <w:rsid w:val="00E53D87"/>
    <w:rsid w:val="00E543DF"/>
    <w:rsid w:val="00E54A0E"/>
    <w:rsid w:val="00E54F70"/>
    <w:rsid w:val="00E551FA"/>
    <w:rsid w:val="00E55585"/>
    <w:rsid w:val="00E6139F"/>
    <w:rsid w:val="00E61536"/>
    <w:rsid w:val="00E622FF"/>
    <w:rsid w:val="00E626F3"/>
    <w:rsid w:val="00E64BA8"/>
    <w:rsid w:val="00E653AA"/>
    <w:rsid w:val="00E66D29"/>
    <w:rsid w:val="00E70801"/>
    <w:rsid w:val="00E710F3"/>
    <w:rsid w:val="00E71565"/>
    <w:rsid w:val="00E715BD"/>
    <w:rsid w:val="00E724AF"/>
    <w:rsid w:val="00E74FEF"/>
    <w:rsid w:val="00E773F8"/>
    <w:rsid w:val="00E77783"/>
    <w:rsid w:val="00E80044"/>
    <w:rsid w:val="00E8073B"/>
    <w:rsid w:val="00E809F5"/>
    <w:rsid w:val="00E80DD4"/>
    <w:rsid w:val="00E82B7B"/>
    <w:rsid w:val="00E83A6B"/>
    <w:rsid w:val="00E848EB"/>
    <w:rsid w:val="00E84BC1"/>
    <w:rsid w:val="00E86065"/>
    <w:rsid w:val="00E869B1"/>
    <w:rsid w:val="00E8702D"/>
    <w:rsid w:val="00E87FBC"/>
    <w:rsid w:val="00E91D1D"/>
    <w:rsid w:val="00E94B4A"/>
    <w:rsid w:val="00E94DBF"/>
    <w:rsid w:val="00E94FD8"/>
    <w:rsid w:val="00E97698"/>
    <w:rsid w:val="00EA2092"/>
    <w:rsid w:val="00EA3896"/>
    <w:rsid w:val="00EA3EAE"/>
    <w:rsid w:val="00EA43E5"/>
    <w:rsid w:val="00EA4535"/>
    <w:rsid w:val="00EA479E"/>
    <w:rsid w:val="00EA685F"/>
    <w:rsid w:val="00EA713C"/>
    <w:rsid w:val="00EB0C18"/>
    <w:rsid w:val="00EB2773"/>
    <w:rsid w:val="00EB27AC"/>
    <w:rsid w:val="00EB3F48"/>
    <w:rsid w:val="00EB5CE4"/>
    <w:rsid w:val="00EB5E37"/>
    <w:rsid w:val="00EB69EF"/>
    <w:rsid w:val="00EC14D1"/>
    <w:rsid w:val="00EC17B0"/>
    <w:rsid w:val="00EC1E8A"/>
    <w:rsid w:val="00EC202A"/>
    <w:rsid w:val="00EC263F"/>
    <w:rsid w:val="00EC3893"/>
    <w:rsid w:val="00EC5202"/>
    <w:rsid w:val="00ED0E16"/>
    <w:rsid w:val="00ED27FF"/>
    <w:rsid w:val="00ED31DF"/>
    <w:rsid w:val="00ED32CC"/>
    <w:rsid w:val="00ED39FE"/>
    <w:rsid w:val="00ED4D03"/>
    <w:rsid w:val="00ED5E6D"/>
    <w:rsid w:val="00ED60B6"/>
    <w:rsid w:val="00EE1B3B"/>
    <w:rsid w:val="00EE2A36"/>
    <w:rsid w:val="00EE5A03"/>
    <w:rsid w:val="00EE6032"/>
    <w:rsid w:val="00EF1B51"/>
    <w:rsid w:val="00EF3EA0"/>
    <w:rsid w:val="00EF46C9"/>
    <w:rsid w:val="00EF57ED"/>
    <w:rsid w:val="00F04746"/>
    <w:rsid w:val="00F05984"/>
    <w:rsid w:val="00F111BD"/>
    <w:rsid w:val="00F117D7"/>
    <w:rsid w:val="00F11802"/>
    <w:rsid w:val="00F128A1"/>
    <w:rsid w:val="00F12C10"/>
    <w:rsid w:val="00F13038"/>
    <w:rsid w:val="00F13103"/>
    <w:rsid w:val="00F13B6B"/>
    <w:rsid w:val="00F155CD"/>
    <w:rsid w:val="00F1799B"/>
    <w:rsid w:val="00F21B6A"/>
    <w:rsid w:val="00F21E1A"/>
    <w:rsid w:val="00F272B5"/>
    <w:rsid w:val="00F27868"/>
    <w:rsid w:val="00F30C71"/>
    <w:rsid w:val="00F31741"/>
    <w:rsid w:val="00F32880"/>
    <w:rsid w:val="00F35E6E"/>
    <w:rsid w:val="00F367B4"/>
    <w:rsid w:val="00F36F40"/>
    <w:rsid w:val="00F41120"/>
    <w:rsid w:val="00F423AF"/>
    <w:rsid w:val="00F42C81"/>
    <w:rsid w:val="00F447E0"/>
    <w:rsid w:val="00F45630"/>
    <w:rsid w:val="00F45BF2"/>
    <w:rsid w:val="00F45C8F"/>
    <w:rsid w:val="00F46BA7"/>
    <w:rsid w:val="00F47D39"/>
    <w:rsid w:val="00F50B9E"/>
    <w:rsid w:val="00F50F14"/>
    <w:rsid w:val="00F52A8D"/>
    <w:rsid w:val="00F52BB2"/>
    <w:rsid w:val="00F57005"/>
    <w:rsid w:val="00F57111"/>
    <w:rsid w:val="00F60250"/>
    <w:rsid w:val="00F64EEA"/>
    <w:rsid w:val="00F66F31"/>
    <w:rsid w:val="00F71312"/>
    <w:rsid w:val="00F716CA"/>
    <w:rsid w:val="00F723CC"/>
    <w:rsid w:val="00F72C98"/>
    <w:rsid w:val="00F72E50"/>
    <w:rsid w:val="00F73148"/>
    <w:rsid w:val="00F74698"/>
    <w:rsid w:val="00F8139C"/>
    <w:rsid w:val="00F813EB"/>
    <w:rsid w:val="00F81626"/>
    <w:rsid w:val="00F81B7B"/>
    <w:rsid w:val="00F82392"/>
    <w:rsid w:val="00F83DE8"/>
    <w:rsid w:val="00F85818"/>
    <w:rsid w:val="00F86C74"/>
    <w:rsid w:val="00F90590"/>
    <w:rsid w:val="00F90CBD"/>
    <w:rsid w:val="00F913EA"/>
    <w:rsid w:val="00F91917"/>
    <w:rsid w:val="00F92D91"/>
    <w:rsid w:val="00F9360B"/>
    <w:rsid w:val="00F93CFD"/>
    <w:rsid w:val="00F9432B"/>
    <w:rsid w:val="00F943BD"/>
    <w:rsid w:val="00F956A3"/>
    <w:rsid w:val="00F95723"/>
    <w:rsid w:val="00F972A7"/>
    <w:rsid w:val="00F97461"/>
    <w:rsid w:val="00FA29AA"/>
    <w:rsid w:val="00FA3963"/>
    <w:rsid w:val="00FA439F"/>
    <w:rsid w:val="00FA467A"/>
    <w:rsid w:val="00FA5FD8"/>
    <w:rsid w:val="00FA6371"/>
    <w:rsid w:val="00FB1F09"/>
    <w:rsid w:val="00FB2A27"/>
    <w:rsid w:val="00FB2FE1"/>
    <w:rsid w:val="00FB5ECE"/>
    <w:rsid w:val="00FB60D8"/>
    <w:rsid w:val="00FB6B03"/>
    <w:rsid w:val="00FC1319"/>
    <w:rsid w:val="00FC162F"/>
    <w:rsid w:val="00FD06BC"/>
    <w:rsid w:val="00FD0F98"/>
    <w:rsid w:val="00FD2889"/>
    <w:rsid w:val="00FD2982"/>
    <w:rsid w:val="00FD4F97"/>
    <w:rsid w:val="00FD5027"/>
    <w:rsid w:val="00FD5081"/>
    <w:rsid w:val="00FD55E4"/>
    <w:rsid w:val="00FD6F08"/>
    <w:rsid w:val="00FE48A3"/>
    <w:rsid w:val="00FE495A"/>
    <w:rsid w:val="00FE69D2"/>
    <w:rsid w:val="00FF17A2"/>
    <w:rsid w:val="00FF1C0A"/>
    <w:rsid w:val="00FF3BB5"/>
    <w:rsid w:val="00FF4AD5"/>
    <w:rsid w:val="00FF5C1A"/>
    <w:rsid w:val="00FF5C1F"/>
    <w:rsid w:val="00FF6EAD"/>
    <w:rsid w:val="00FF7205"/>
    <w:rsid w:val="01046946"/>
    <w:rsid w:val="0114701D"/>
    <w:rsid w:val="0119677B"/>
    <w:rsid w:val="01233096"/>
    <w:rsid w:val="012B64AF"/>
    <w:rsid w:val="0143304E"/>
    <w:rsid w:val="015123B9"/>
    <w:rsid w:val="01536131"/>
    <w:rsid w:val="01655E65"/>
    <w:rsid w:val="016A099A"/>
    <w:rsid w:val="016A5229"/>
    <w:rsid w:val="01791910"/>
    <w:rsid w:val="017A07B8"/>
    <w:rsid w:val="017E0CD4"/>
    <w:rsid w:val="01814321"/>
    <w:rsid w:val="018F253A"/>
    <w:rsid w:val="019432A7"/>
    <w:rsid w:val="019E6765"/>
    <w:rsid w:val="01AC0EB4"/>
    <w:rsid w:val="01B666C0"/>
    <w:rsid w:val="01C34BD9"/>
    <w:rsid w:val="01E07700"/>
    <w:rsid w:val="02056D00"/>
    <w:rsid w:val="022E14F7"/>
    <w:rsid w:val="023470AD"/>
    <w:rsid w:val="023D6067"/>
    <w:rsid w:val="02514C8F"/>
    <w:rsid w:val="02586ABC"/>
    <w:rsid w:val="025F6B3F"/>
    <w:rsid w:val="029F7154"/>
    <w:rsid w:val="02A35710"/>
    <w:rsid w:val="02A7173A"/>
    <w:rsid w:val="02AE55E9"/>
    <w:rsid w:val="02BB4069"/>
    <w:rsid w:val="02BE3A7E"/>
    <w:rsid w:val="02DC3F04"/>
    <w:rsid w:val="02DE6972"/>
    <w:rsid w:val="02E132C9"/>
    <w:rsid w:val="02E152FE"/>
    <w:rsid w:val="02E903CF"/>
    <w:rsid w:val="03102EF9"/>
    <w:rsid w:val="03174F3D"/>
    <w:rsid w:val="031B2C7F"/>
    <w:rsid w:val="031D1091"/>
    <w:rsid w:val="03215DBB"/>
    <w:rsid w:val="032B053F"/>
    <w:rsid w:val="033C5603"/>
    <w:rsid w:val="033E071B"/>
    <w:rsid w:val="034E44B4"/>
    <w:rsid w:val="034F0F87"/>
    <w:rsid w:val="03522419"/>
    <w:rsid w:val="03555E7A"/>
    <w:rsid w:val="035A2F2E"/>
    <w:rsid w:val="03716D43"/>
    <w:rsid w:val="037929CC"/>
    <w:rsid w:val="037D15FD"/>
    <w:rsid w:val="0390639A"/>
    <w:rsid w:val="03912F41"/>
    <w:rsid w:val="039370FD"/>
    <w:rsid w:val="03990047"/>
    <w:rsid w:val="039C2264"/>
    <w:rsid w:val="03A25DD5"/>
    <w:rsid w:val="03A60B89"/>
    <w:rsid w:val="03A87586"/>
    <w:rsid w:val="03B15391"/>
    <w:rsid w:val="03B44E81"/>
    <w:rsid w:val="03B97D66"/>
    <w:rsid w:val="03DB0660"/>
    <w:rsid w:val="03DD4D50"/>
    <w:rsid w:val="03EF5EB9"/>
    <w:rsid w:val="04074D9A"/>
    <w:rsid w:val="040C6A6B"/>
    <w:rsid w:val="04163446"/>
    <w:rsid w:val="04823244"/>
    <w:rsid w:val="048900BC"/>
    <w:rsid w:val="04894502"/>
    <w:rsid w:val="04926F71"/>
    <w:rsid w:val="049C1B9D"/>
    <w:rsid w:val="04B14F1D"/>
    <w:rsid w:val="04C01C01"/>
    <w:rsid w:val="04C133B2"/>
    <w:rsid w:val="04C87597"/>
    <w:rsid w:val="04CA4554"/>
    <w:rsid w:val="04CE66EF"/>
    <w:rsid w:val="04D255BF"/>
    <w:rsid w:val="04F21C3B"/>
    <w:rsid w:val="04F35A8A"/>
    <w:rsid w:val="04F6341D"/>
    <w:rsid w:val="04FD1ABF"/>
    <w:rsid w:val="04FF30C8"/>
    <w:rsid w:val="050339CA"/>
    <w:rsid w:val="0505457F"/>
    <w:rsid w:val="050A0794"/>
    <w:rsid w:val="053718C6"/>
    <w:rsid w:val="054E6ABC"/>
    <w:rsid w:val="055446CC"/>
    <w:rsid w:val="05810D93"/>
    <w:rsid w:val="05AE3170"/>
    <w:rsid w:val="05B2661A"/>
    <w:rsid w:val="05D7618F"/>
    <w:rsid w:val="05D9297D"/>
    <w:rsid w:val="05E259B5"/>
    <w:rsid w:val="0607573C"/>
    <w:rsid w:val="06200716"/>
    <w:rsid w:val="06202C6F"/>
    <w:rsid w:val="06224324"/>
    <w:rsid w:val="062961D0"/>
    <w:rsid w:val="0651441B"/>
    <w:rsid w:val="066D16A9"/>
    <w:rsid w:val="067B04B0"/>
    <w:rsid w:val="06871A1E"/>
    <w:rsid w:val="069F7723"/>
    <w:rsid w:val="06A3335E"/>
    <w:rsid w:val="06A607F8"/>
    <w:rsid w:val="06A64F55"/>
    <w:rsid w:val="06AE3E0A"/>
    <w:rsid w:val="06D85F4A"/>
    <w:rsid w:val="06E4779C"/>
    <w:rsid w:val="06E72E78"/>
    <w:rsid w:val="06F60A45"/>
    <w:rsid w:val="07047ECE"/>
    <w:rsid w:val="070B300A"/>
    <w:rsid w:val="07155680"/>
    <w:rsid w:val="07195727"/>
    <w:rsid w:val="071F383B"/>
    <w:rsid w:val="072440CC"/>
    <w:rsid w:val="0731003D"/>
    <w:rsid w:val="07342561"/>
    <w:rsid w:val="07584848"/>
    <w:rsid w:val="07593D76"/>
    <w:rsid w:val="07751C03"/>
    <w:rsid w:val="077627A2"/>
    <w:rsid w:val="077A5972"/>
    <w:rsid w:val="07841D9E"/>
    <w:rsid w:val="07856FAE"/>
    <w:rsid w:val="07874981"/>
    <w:rsid w:val="078B414B"/>
    <w:rsid w:val="07AF1BE8"/>
    <w:rsid w:val="07B611C8"/>
    <w:rsid w:val="07BE007D"/>
    <w:rsid w:val="07D048FF"/>
    <w:rsid w:val="07DD533E"/>
    <w:rsid w:val="07DF75F9"/>
    <w:rsid w:val="07E00F43"/>
    <w:rsid w:val="07E37AE3"/>
    <w:rsid w:val="07EA7730"/>
    <w:rsid w:val="07EB655B"/>
    <w:rsid w:val="0809346C"/>
    <w:rsid w:val="080A1514"/>
    <w:rsid w:val="080A32C2"/>
    <w:rsid w:val="081B3820"/>
    <w:rsid w:val="08346584"/>
    <w:rsid w:val="083B575A"/>
    <w:rsid w:val="084C7CB4"/>
    <w:rsid w:val="084E1401"/>
    <w:rsid w:val="08682C5A"/>
    <w:rsid w:val="087D6BC9"/>
    <w:rsid w:val="087F0F5A"/>
    <w:rsid w:val="088B63D5"/>
    <w:rsid w:val="089B0000"/>
    <w:rsid w:val="089D4136"/>
    <w:rsid w:val="08A74636"/>
    <w:rsid w:val="08C37623"/>
    <w:rsid w:val="08CB2A51"/>
    <w:rsid w:val="08CE1BFE"/>
    <w:rsid w:val="08DC070E"/>
    <w:rsid w:val="08E73603"/>
    <w:rsid w:val="08F8136C"/>
    <w:rsid w:val="09467E45"/>
    <w:rsid w:val="094E5430"/>
    <w:rsid w:val="095E1D84"/>
    <w:rsid w:val="097A46C1"/>
    <w:rsid w:val="09887E56"/>
    <w:rsid w:val="09A76BE4"/>
    <w:rsid w:val="09AA53B9"/>
    <w:rsid w:val="09C35E1E"/>
    <w:rsid w:val="09C5548B"/>
    <w:rsid w:val="09D933D1"/>
    <w:rsid w:val="09DC0C8E"/>
    <w:rsid w:val="09DF0839"/>
    <w:rsid w:val="09E17322"/>
    <w:rsid w:val="09E65669"/>
    <w:rsid w:val="09F2400E"/>
    <w:rsid w:val="09FB0CA8"/>
    <w:rsid w:val="0A086F7F"/>
    <w:rsid w:val="0A1A4C99"/>
    <w:rsid w:val="0A1E5D27"/>
    <w:rsid w:val="0A2368BD"/>
    <w:rsid w:val="0A41009A"/>
    <w:rsid w:val="0A426D43"/>
    <w:rsid w:val="0A54227E"/>
    <w:rsid w:val="0A686768"/>
    <w:rsid w:val="0A6E2E8D"/>
    <w:rsid w:val="0A7039F0"/>
    <w:rsid w:val="0A7809B7"/>
    <w:rsid w:val="0A84735B"/>
    <w:rsid w:val="0A892BC4"/>
    <w:rsid w:val="0AA277E2"/>
    <w:rsid w:val="0AB217E9"/>
    <w:rsid w:val="0AC24DB3"/>
    <w:rsid w:val="0AC27E84"/>
    <w:rsid w:val="0AD55E09"/>
    <w:rsid w:val="0B112031"/>
    <w:rsid w:val="0B125161"/>
    <w:rsid w:val="0B166A7D"/>
    <w:rsid w:val="0B260413"/>
    <w:rsid w:val="0B3C3D61"/>
    <w:rsid w:val="0B446AEB"/>
    <w:rsid w:val="0B4B7177"/>
    <w:rsid w:val="0B557ED2"/>
    <w:rsid w:val="0B70355C"/>
    <w:rsid w:val="0B732F2C"/>
    <w:rsid w:val="0B927856"/>
    <w:rsid w:val="0B93537C"/>
    <w:rsid w:val="0BB221D5"/>
    <w:rsid w:val="0BB30DED"/>
    <w:rsid w:val="0BC31160"/>
    <w:rsid w:val="0BED1C3D"/>
    <w:rsid w:val="0BF132A6"/>
    <w:rsid w:val="0BF5011F"/>
    <w:rsid w:val="0BF80042"/>
    <w:rsid w:val="0BF963BE"/>
    <w:rsid w:val="0C176717"/>
    <w:rsid w:val="0C1E14BF"/>
    <w:rsid w:val="0C231F30"/>
    <w:rsid w:val="0C280A70"/>
    <w:rsid w:val="0C360B29"/>
    <w:rsid w:val="0C513026"/>
    <w:rsid w:val="0C5965C6"/>
    <w:rsid w:val="0C66529A"/>
    <w:rsid w:val="0C711992"/>
    <w:rsid w:val="0C9413AC"/>
    <w:rsid w:val="0CA1682B"/>
    <w:rsid w:val="0CAF61E6"/>
    <w:rsid w:val="0CB0376F"/>
    <w:rsid w:val="0CC53C5B"/>
    <w:rsid w:val="0CD45C4C"/>
    <w:rsid w:val="0CEE5531"/>
    <w:rsid w:val="0CF56C5C"/>
    <w:rsid w:val="0CFE05A9"/>
    <w:rsid w:val="0D180E3A"/>
    <w:rsid w:val="0D181FDD"/>
    <w:rsid w:val="0D183D8B"/>
    <w:rsid w:val="0D1C7549"/>
    <w:rsid w:val="0D221C96"/>
    <w:rsid w:val="0D223618"/>
    <w:rsid w:val="0D330BC5"/>
    <w:rsid w:val="0D421243"/>
    <w:rsid w:val="0D433584"/>
    <w:rsid w:val="0D4A0EC5"/>
    <w:rsid w:val="0D5663F1"/>
    <w:rsid w:val="0D62141E"/>
    <w:rsid w:val="0D6214AA"/>
    <w:rsid w:val="0D68593C"/>
    <w:rsid w:val="0D696CDD"/>
    <w:rsid w:val="0D7859AD"/>
    <w:rsid w:val="0D7978AA"/>
    <w:rsid w:val="0D7A7B92"/>
    <w:rsid w:val="0D8853B5"/>
    <w:rsid w:val="0D9B3A04"/>
    <w:rsid w:val="0DAE7726"/>
    <w:rsid w:val="0DB0410E"/>
    <w:rsid w:val="0DD7216C"/>
    <w:rsid w:val="0DEB14A0"/>
    <w:rsid w:val="0DF55C73"/>
    <w:rsid w:val="0E055DB2"/>
    <w:rsid w:val="0E1409F6"/>
    <w:rsid w:val="0E1B4EB5"/>
    <w:rsid w:val="0E31369D"/>
    <w:rsid w:val="0E3A7B0C"/>
    <w:rsid w:val="0E69470A"/>
    <w:rsid w:val="0E794CFD"/>
    <w:rsid w:val="0E941B37"/>
    <w:rsid w:val="0EA97102"/>
    <w:rsid w:val="0EAE1257"/>
    <w:rsid w:val="0EB6385C"/>
    <w:rsid w:val="0ED878AA"/>
    <w:rsid w:val="0EE50FED"/>
    <w:rsid w:val="0EEA43B7"/>
    <w:rsid w:val="0EF95DE2"/>
    <w:rsid w:val="0F227143"/>
    <w:rsid w:val="0F29124F"/>
    <w:rsid w:val="0F615EBD"/>
    <w:rsid w:val="0F625791"/>
    <w:rsid w:val="0F754A96"/>
    <w:rsid w:val="0FA14F53"/>
    <w:rsid w:val="0FC20C6A"/>
    <w:rsid w:val="0FD22F01"/>
    <w:rsid w:val="0FD717EE"/>
    <w:rsid w:val="0FE12B5A"/>
    <w:rsid w:val="0FE663C2"/>
    <w:rsid w:val="10095FE2"/>
    <w:rsid w:val="100E0EC1"/>
    <w:rsid w:val="10200D33"/>
    <w:rsid w:val="1021564D"/>
    <w:rsid w:val="10292227"/>
    <w:rsid w:val="1047587D"/>
    <w:rsid w:val="10700EC4"/>
    <w:rsid w:val="10721EA7"/>
    <w:rsid w:val="10797939"/>
    <w:rsid w:val="107C6D27"/>
    <w:rsid w:val="107F7D5A"/>
    <w:rsid w:val="10861351"/>
    <w:rsid w:val="10863702"/>
    <w:rsid w:val="10914580"/>
    <w:rsid w:val="109974C3"/>
    <w:rsid w:val="10A11BE0"/>
    <w:rsid w:val="10A206E8"/>
    <w:rsid w:val="10A65B52"/>
    <w:rsid w:val="10AB3168"/>
    <w:rsid w:val="10AB4F16"/>
    <w:rsid w:val="10B21E22"/>
    <w:rsid w:val="10BB4DB5"/>
    <w:rsid w:val="10BE10ED"/>
    <w:rsid w:val="10C06C14"/>
    <w:rsid w:val="10C20BDE"/>
    <w:rsid w:val="10C41615"/>
    <w:rsid w:val="10C42F37"/>
    <w:rsid w:val="10CC55B8"/>
    <w:rsid w:val="10D60D02"/>
    <w:rsid w:val="10F44B0F"/>
    <w:rsid w:val="10F845FF"/>
    <w:rsid w:val="110E1D8B"/>
    <w:rsid w:val="111D7BC2"/>
    <w:rsid w:val="114C615D"/>
    <w:rsid w:val="11664398"/>
    <w:rsid w:val="1169324B"/>
    <w:rsid w:val="116C0B49"/>
    <w:rsid w:val="118778DB"/>
    <w:rsid w:val="11990122"/>
    <w:rsid w:val="11A51C6C"/>
    <w:rsid w:val="11A93B4C"/>
    <w:rsid w:val="11AA3A8A"/>
    <w:rsid w:val="11AB78C4"/>
    <w:rsid w:val="11C049F1"/>
    <w:rsid w:val="11DA6AA5"/>
    <w:rsid w:val="11E8183E"/>
    <w:rsid w:val="11FB5F1F"/>
    <w:rsid w:val="12080FF5"/>
    <w:rsid w:val="1247118A"/>
    <w:rsid w:val="12492C39"/>
    <w:rsid w:val="12514194"/>
    <w:rsid w:val="125A3098"/>
    <w:rsid w:val="125B3B8C"/>
    <w:rsid w:val="126E7BC8"/>
    <w:rsid w:val="128709B9"/>
    <w:rsid w:val="129801AD"/>
    <w:rsid w:val="12C32DCD"/>
    <w:rsid w:val="12D15E76"/>
    <w:rsid w:val="12D270D2"/>
    <w:rsid w:val="12F2697F"/>
    <w:rsid w:val="12F435D0"/>
    <w:rsid w:val="13174D26"/>
    <w:rsid w:val="13207E3D"/>
    <w:rsid w:val="132853A8"/>
    <w:rsid w:val="1336140F"/>
    <w:rsid w:val="13545BFB"/>
    <w:rsid w:val="136B04DE"/>
    <w:rsid w:val="13741F37"/>
    <w:rsid w:val="139C5D19"/>
    <w:rsid w:val="13A041EE"/>
    <w:rsid w:val="13A14A93"/>
    <w:rsid w:val="13AA6833"/>
    <w:rsid w:val="13B3480E"/>
    <w:rsid w:val="13CB7DA9"/>
    <w:rsid w:val="13D855F4"/>
    <w:rsid w:val="13E065BB"/>
    <w:rsid w:val="13E64BE3"/>
    <w:rsid w:val="13FB3E75"/>
    <w:rsid w:val="140E5641"/>
    <w:rsid w:val="14157276"/>
    <w:rsid w:val="14221993"/>
    <w:rsid w:val="14261483"/>
    <w:rsid w:val="14291399"/>
    <w:rsid w:val="142B23BA"/>
    <w:rsid w:val="14322511"/>
    <w:rsid w:val="143A402E"/>
    <w:rsid w:val="144B4335"/>
    <w:rsid w:val="144C52D9"/>
    <w:rsid w:val="14556EA4"/>
    <w:rsid w:val="14615A75"/>
    <w:rsid w:val="146B1CCC"/>
    <w:rsid w:val="14726477"/>
    <w:rsid w:val="1475103D"/>
    <w:rsid w:val="147A357D"/>
    <w:rsid w:val="147D0101"/>
    <w:rsid w:val="14881128"/>
    <w:rsid w:val="148C1946"/>
    <w:rsid w:val="14F0383F"/>
    <w:rsid w:val="151C63E2"/>
    <w:rsid w:val="152B5ECF"/>
    <w:rsid w:val="154D191B"/>
    <w:rsid w:val="156612A5"/>
    <w:rsid w:val="15695ACC"/>
    <w:rsid w:val="15754ED2"/>
    <w:rsid w:val="157F76CB"/>
    <w:rsid w:val="158166E2"/>
    <w:rsid w:val="1591242D"/>
    <w:rsid w:val="15A10BBD"/>
    <w:rsid w:val="15A2553E"/>
    <w:rsid w:val="15A73D95"/>
    <w:rsid w:val="15AE1730"/>
    <w:rsid w:val="15B14D7D"/>
    <w:rsid w:val="15CC70C4"/>
    <w:rsid w:val="15D11FC0"/>
    <w:rsid w:val="15D13353"/>
    <w:rsid w:val="15ED2F6E"/>
    <w:rsid w:val="15F157E2"/>
    <w:rsid w:val="16083EFC"/>
    <w:rsid w:val="16195C96"/>
    <w:rsid w:val="161D6DF7"/>
    <w:rsid w:val="1625231F"/>
    <w:rsid w:val="16386323"/>
    <w:rsid w:val="163C2B78"/>
    <w:rsid w:val="164D0F49"/>
    <w:rsid w:val="165C1B3B"/>
    <w:rsid w:val="166D7E75"/>
    <w:rsid w:val="166F78C9"/>
    <w:rsid w:val="167C1C99"/>
    <w:rsid w:val="16B14976"/>
    <w:rsid w:val="16B74615"/>
    <w:rsid w:val="16C86822"/>
    <w:rsid w:val="16D74CB7"/>
    <w:rsid w:val="16F60E0E"/>
    <w:rsid w:val="16F915C1"/>
    <w:rsid w:val="170610F8"/>
    <w:rsid w:val="171534A8"/>
    <w:rsid w:val="171F098A"/>
    <w:rsid w:val="17255A22"/>
    <w:rsid w:val="176522C3"/>
    <w:rsid w:val="17652705"/>
    <w:rsid w:val="17750947"/>
    <w:rsid w:val="177760D3"/>
    <w:rsid w:val="177E15D6"/>
    <w:rsid w:val="179E57D5"/>
    <w:rsid w:val="17A81B6E"/>
    <w:rsid w:val="17C27715"/>
    <w:rsid w:val="17C4756C"/>
    <w:rsid w:val="17CC4597"/>
    <w:rsid w:val="17CD16AB"/>
    <w:rsid w:val="17E254F2"/>
    <w:rsid w:val="1806208F"/>
    <w:rsid w:val="18254347"/>
    <w:rsid w:val="18332C54"/>
    <w:rsid w:val="183A032E"/>
    <w:rsid w:val="183D67E2"/>
    <w:rsid w:val="184052A8"/>
    <w:rsid w:val="18433FF9"/>
    <w:rsid w:val="18441ED8"/>
    <w:rsid w:val="184B0D43"/>
    <w:rsid w:val="1862610F"/>
    <w:rsid w:val="18730500"/>
    <w:rsid w:val="18771067"/>
    <w:rsid w:val="189439DF"/>
    <w:rsid w:val="18A421D0"/>
    <w:rsid w:val="18AB01A9"/>
    <w:rsid w:val="18B0756E"/>
    <w:rsid w:val="18D0099F"/>
    <w:rsid w:val="18E35B95"/>
    <w:rsid w:val="18ED60D0"/>
    <w:rsid w:val="18F63141"/>
    <w:rsid w:val="18FE3026"/>
    <w:rsid w:val="190217E4"/>
    <w:rsid w:val="190B3122"/>
    <w:rsid w:val="190F16DC"/>
    <w:rsid w:val="19137AFC"/>
    <w:rsid w:val="192166BD"/>
    <w:rsid w:val="19520625"/>
    <w:rsid w:val="195505EF"/>
    <w:rsid w:val="195E346D"/>
    <w:rsid w:val="197F438B"/>
    <w:rsid w:val="19833088"/>
    <w:rsid w:val="19957A1E"/>
    <w:rsid w:val="199E57FA"/>
    <w:rsid w:val="19A5109C"/>
    <w:rsid w:val="19AE3232"/>
    <w:rsid w:val="19AF3038"/>
    <w:rsid w:val="19B27315"/>
    <w:rsid w:val="19BE5D1C"/>
    <w:rsid w:val="19BF6BCA"/>
    <w:rsid w:val="19BF7295"/>
    <w:rsid w:val="19C92FDD"/>
    <w:rsid w:val="19EA317E"/>
    <w:rsid w:val="19EC2827"/>
    <w:rsid w:val="19F219A3"/>
    <w:rsid w:val="19F811CC"/>
    <w:rsid w:val="1A13420C"/>
    <w:rsid w:val="1A3538E8"/>
    <w:rsid w:val="1A467448"/>
    <w:rsid w:val="1A5339C4"/>
    <w:rsid w:val="1A542299"/>
    <w:rsid w:val="1A7F369B"/>
    <w:rsid w:val="1A806F36"/>
    <w:rsid w:val="1A8A4074"/>
    <w:rsid w:val="1A8C2611"/>
    <w:rsid w:val="1A901E03"/>
    <w:rsid w:val="1AC75042"/>
    <w:rsid w:val="1AD01FEC"/>
    <w:rsid w:val="1AE3047A"/>
    <w:rsid w:val="1AE41750"/>
    <w:rsid w:val="1AEA01E7"/>
    <w:rsid w:val="1AEA3996"/>
    <w:rsid w:val="1AF06347"/>
    <w:rsid w:val="1AF23E6D"/>
    <w:rsid w:val="1AFE6CB6"/>
    <w:rsid w:val="1B0E5017"/>
    <w:rsid w:val="1B1C1F44"/>
    <w:rsid w:val="1B327518"/>
    <w:rsid w:val="1B5D3232"/>
    <w:rsid w:val="1B721452"/>
    <w:rsid w:val="1B7A4CDB"/>
    <w:rsid w:val="1B8A054A"/>
    <w:rsid w:val="1B8C517C"/>
    <w:rsid w:val="1B993FBD"/>
    <w:rsid w:val="1BA52950"/>
    <w:rsid w:val="1BC11A92"/>
    <w:rsid w:val="1BC25F36"/>
    <w:rsid w:val="1BC73CAD"/>
    <w:rsid w:val="1BC96465"/>
    <w:rsid w:val="1BCB46BE"/>
    <w:rsid w:val="1BDD60BF"/>
    <w:rsid w:val="1BE044C4"/>
    <w:rsid w:val="1C024584"/>
    <w:rsid w:val="1C0659FC"/>
    <w:rsid w:val="1C15596D"/>
    <w:rsid w:val="1C2C57C5"/>
    <w:rsid w:val="1C477D67"/>
    <w:rsid w:val="1C4C4A75"/>
    <w:rsid w:val="1C512E16"/>
    <w:rsid w:val="1C5148F6"/>
    <w:rsid w:val="1C5F5238"/>
    <w:rsid w:val="1C694355"/>
    <w:rsid w:val="1C821221"/>
    <w:rsid w:val="1C9D605B"/>
    <w:rsid w:val="1CA40989"/>
    <w:rsid w:val="1CA55FE9"/>
    <w:rsid w:val="1CB06FAF"/>
    <w:rsid w:val="1CB9021E"/>
    <w:rsid w:val="1CCD11F4"/>
    <w:rsid w:val="1CDA5373"/>
    <w:rsid w:val="1CDB6B83"/>
    <w:rsid w:val="1D232A04"/>
    <w:rsid w:val="1D2572EE"/>
    <w:rsid w:val="1D305584"/>
    <w:rsid w:val="1D3369BF"/>
    <w:rsid w:val="1D344C11"/>
    <w:rsid w:val="1D394A50"/>
    <w:rsid w:val="1D7522E4"/>
    <w:rsid w:val="1D8027D0"/>
    <w:rsid w:val="1D852745"/>
    <w:rsid w:val="1D9407D8"/>
    <w:rsid w:val="1DA376A1"/>
    <w:rsid w:val="1DA57BBF"/>
    <w:rsid w:val="1DB7139E"/>
    <w:rsid w:val="1DB95328"/>
    <w:rsid w:val="1DBC2CDA"/>
    <w:rsid w:val="1DCE682B"/>
    <w:rsid w:val="1DD261D8"/>
    <w:rsid w:val="1DDE4B7D"/>
    <w:rsid w:val="1DF42526"/>
    <w:rsid w:val="1E0B4465"/>
    <w:rsid w:val="1E124827"/>
    <w:rsid w:val="1E145256"/>
    <w:rsid w:val="1E1511AA"/>
    <w:rsid w:val="1E18195D"/>
    <w:rsid w:val="1EA20A2F"/>
    <w:rsid w:val="1EAF13E7"/>
    <w:rsid w:val="1EAF79C5"/>
    <w:rsid w:val="1EBF49AE"/>
    <w:rsid w:val="1EC6224D"/>
    <w:rsid w:val="1ECB3353"/>
    <w:rsid w:val="1ED0096A"/>
    <w:rsid w:val="1EE21E5E"/>
    <w:rsid w:val="1EE45B97"/>
    <w:rsid w:val="1EE93DB3"/>
    <w:rsid w:val="1EFA1543"/>
    <w:rsid w:val="1F15637C"/>
    <w:rsid w:val="1F1A1BE5"/>
    <w:rsid w:val="1F216E07"/>
    <w:rsid w:val="1F254A32"/>
    <w:rsid w:val="1F2C126B"/>
    <w:rsid w:val="1F42191B"/>
    <w:rsid w:val="1F4E5D32"/>
    <w:rsid w:val="1F5321E4"/>
    <w:rsid w:val="1F556EA2"/>
    <w:rsid w:val="1F7F15DE"/>
    <w:rsid w:val="1F8F47C9"/>
    <w:rsid w:val="1F9F346D"/>
    <w:rsid w:val="1FA22954"/>
    <w:rsid w:val="1FAB0A8F"/>
    <w:rsid w:val="1FCD31E2"/>
    <w:rsid w:val="1FD07032"/>
    <w:rsid w:val="1FE04BDC"/>
    <w:rsid w:val="1FE66E7E"/>
    <w:rsid w:val="1FEE2DDD"/>
    <w:rsid w:val="1FF35611"/>
    <w:rsid w:val="20091DF2"/>
    <w:rsid w:val="200F309B"/>
    <w:rsid w:val="20120B0E"/>
    <w:rsid w:val="201C198C"/>
    <w:rsid w:val="2031764C"/>
    <w:rsid w:val="20346CD6"/>
    <w:rsid w:val="203B419F"/>
    <w:rsid w:val="20443502"/>
    <w:rsid w:val="204D1B46"/>
    <w:rsid w:val="20746C50"/>
    <w:rsid w:val="208E4638"/>
    <w:rsid w:val="209609B8"/>
    <w:rsid w:val="20A91DD3"/>
    <w:rsid w:val="20BC49B4"/>
    <w:rsid w:val="20BC4F1C"/>
    <w:rsid w:val="20BC5952"/>
    <w:rsid w:val="20C77681"/>
    <w:rsid w:val="20C92EEA"/>
    <w:rsid w:val="20D75C6A"/>
    <w:rsid w:val="20E02FD1"/>
    <w:rsid w:val="20E66EB0"/>
    <w:rsid w:val="20F83EE3"/>
    <w:rsid w:val="210235FC"/>
    <w:rsid w:val="210743EB"/>
    <w:rsid w:val="212925B3"/>
    <w:rsid w:val="21401386"/>
    <w:rsid w:val="21455F5F"/>
    <w:rsid w:val="21521B0A"/>
    <w:rsid w:val="21562A78"/>
    <w:rsid w:val="21577120"/>
    <w:rsid w:val="216069FD"/>
    <w:rsid w:val="21841C04"/>
    <w:rsid w:val="218F51A9"/>
    <w:rsid w:val="21B225A8"/>
    <w:rsid w:val="21BD184A"/>
    <w:rsid w:val="21D81B14"/>
    <w:rsid w:val="21FC3824"/>
    <w:rsid w:val="21FF32BC"/>
    <w:rsid w:val="220A5211"/>
    <w:rsid w:val="220B4354"/>
    <w:rsid w:val="220D4F73"/>
    <w:rsid w:val="221224B9"/>
    <w:rsid w:val="22326284"/>
    <w:rsid w:val="223F6CC9"/>
    <w:rsid w:val="22517BE9"/>
    <w:rsid w:val="22560A16"/>
    <w:rsid w:val="22561186"/>
    <w:rsid w:val="22581772"/>
    <w:rsid w:val="22733485"/>
    <w:rsid w:val="22736A7A"/>
    <w:rsid w:val="22C32593"/>
    <w:rsid w:val="22D061D8"/>
    <w:rsid w:val="22D30A28"/>
    <w:rsid w:val="22EF48A2"/>
    <w:rsid w:val="2302327F"/>
    <w:rsid w:val="230E0951"/>
    <w:rsid w:val="23103A2A"/>
    <w:rsid w:val="231D69C8"/>
    <w:rsid w:val="23256DAA"/>
    <w:rsid w:val="23291901"/>
    <w:rsid w:val="232C58D9"/>
    <w:rsid w:val="232E5C5F"/>
    <w:rsid w:val="23387465"/>
    <w:rsid w:val="234731C4"/>
    <w:rsid w:val="2351454C"/>
    <w:rsid w:val="23581C68"/>
    <w:rsid w:val="236644C0"/>
    <w:rsid w:val="23740D2D"/>
    <w:rsid w:val="237A68C7"/>
    <w:rsid w:val="23865A9B"/>
    <w:rsid w:val="238735C1"/>
    <w:rsid w:val="23921209"/>
    <w:rsid w:val="239B0E1A"/>
    <w:rsid w:val="23B2761D"/>
    <w:rsid w:val="23D83E1C"/>
    <w:rsid w:val="23FA4DCD"/>
    <w:rsid w:val="2409047A"/>
    <w:rsid w:val="241220FA"/>
    <w:rsid w:val="24213A15"/>
    <w:rsid w:val="2423153B"/>
    <w:rsid w:val="24340889"/>
    <w:rsid w:val="2435126F"/>
    <w:rsid w:val="243C43AB"/>
    <w:rsid w:val="24574727"/>
    <w:rsid w:val="245D6B87"/>
    <w:rsid w:val="246B4C91"/>
    <w:rsid w:val="246D7292"/>
    <w:rsid w:val="24727DCD"/>
    <w:rsid w:val="24776D7B"/>
    <w:rsid w:val="247D056D"/>
    <w:rsid w:val="247E0F56"/>
    <w:rsid w:val="248C5333"/>
    <w:rsid w:val="248D3231"/>
    <w:rsid w:val="24997A50"/>
    <w:rsid w:val="24A60048"/>
    <w:rsid w:val="24B40960"/>
    <w:rsid w:val="24CF3471"/>
    <w:rsid w:val="24F11EE9"/>
    <w:rsid w:val="253C43B8"/>
    <w:rsid w:val="2547125A"/>
    <w:rsid w:val="254C2D14"/>
    <w:rsid w:val="25507908"/>
    <w:rsid w:val="255C3048"/>
    <w:rsid w:val="256E2074"/>
    <w:rsid w:val="2572277A"/>
    <w:rsid w:val="25754019"/>
    <w:rsid w:val="2589632A"/>
    <w:rsid w:val="25900E53"/>
    <w:rsid w:val="259124D5"/>
    <w:rsid w:val="25A7783D"/>
    <w:rsid w:val="25BA1A2C"/>
    <w:rsid w:val="25BA609D"/>
    <w:rsid w:val="25C028A0"/>
    <w:rsid w:val="25C67428"/>
    <w:rsid w:val="25D21167"/>
    <w:rsid w:val="25DD396C"/>
    <w:rsid w:val="25EB46A5"/>
    <w:rsid w:val="26004336"/>
    <w:rsid w:val="26024DD2"/>
    <w:rsid w:val="26073468"/>
    <w:rsid w:val="260C518F"/>
    <w:rsid w:val="261266CE"/>
    <w:rsid w:val="26152813"/>
    <w:rsid w:val="261A497C"/>
    <w:rsid w:val="261D3209"/>
    <w:rsid w:val="26336DF2"/>
    <w:rsid w:val="26351A08"/>
    <w:rsid w:val="263712CE"/>
    <w:rsid w:val="26526108"/>
    <w:rsid w:val="26591245"/>
    <w:rsid w:val="267F22FE"/>
    <w:rsid w:val="26946721"/>
    <w:rsid w:val="269F1F1F"/>
    <w:rsid w:val="26A61FB0"/>
    <w:rsid w:val="26AF355A"/>
    <w:rsid w:val="26BC6809"/>
    <w:rsid w:val="26D954D8"/>
    <w:rsid w:val="26DC4793"/>
    <w:rsid w:val="26EA4592"/>
    <w:rsid w:val="270A5318"/>
    <w:rsid w:val="270F3FF9"/>
    <w:rsid w:val="273121C1"/>
    <w:rsid w:val="273C594F"/>
    <w:rsid w:val="27406555"/>
    <w:rsid w:val="274E0EEF"/>
    <w:rsid w:val="27895B59"/>
    <w:rsid w:val="27A33524"/>
    <w:rsid w:val="27AC6324"/>
    <w:rsid w:val="27C070A1"/>
    <w:rsid w:val="27C7041F"/>
    <w:rsid w:val="27C77198"/>
    <w:rsid w:val="27D43BB9"/>
    <w:rsid w:val="27DD582D"/>
    <w:rsid w:val="27F17DC6"/>
    <w:rsid w:val="27FE272D"/>
    <w:rsid w:val="280B53B5"/>
    <w:rsid w:val="28103025"/>
    <w:rsid w:val="281035C6"/>
    <w:rsid w:val="281C077C"/>
    <w:rsid w:val="281F06F3"/>
    <w:rsid w:val="28212236"/>
    <w:rsid w:val="28377363"/>
    <w:rsid w:val="284271E7"/>
    <w:rsid w:val="285443B9"/>
    <w:rsid w:val="286E0CB1"/>
    <w:rsid w:val="2874034E"/>
    <w:rsid w:val="288171C0"/>
    <w:rsid w:val="28887BBF"/>
    <w:rsid w:val="28CA642A"/>
    <w:rsid w:val="28F66EF4"/>
    <w:rsid w:val="29127DD1"/>
    <w:rsid w:val="29151327"/>
    <w:rsid w:val="292863C3"/>
    <w:rsid w:val="293B5F62"/>
    <w:rsid w:val="293D309F"/>
    <w:rsid w:val="29515F86"/>
    <w:rsid w:val="2957079E"/>
    <w:rsid w:val="2960155A"/>
    <w:rsid w:val="29613037"/>
    <w:rsid w:val="296658DB"/>
    <w:rsid w:val="296C03E6"/>
    <w:rsid w:val="29753F4F"/>
    <w:rsid w:val="29817476"/>
    <w:rsid w:val="298F31CF"/>
    <w:rsid w:val="299E4777"/>
    <w:rsid w:val="29C4435B"/>
    <w:rsid w:val="29D55C79"/>
    <w:rsid w:val="2A092F82"/>
    <w:rsid w:val="2A187847"/>
    <w:rsid w:val="2A36713A"/>
    <w:rsid w:val="2A3E38F0"/>
    <w:rsid w:val="2A3F0751"/>
    <w:rsid w:val="2A5C686A"/>
    <w:rsid w:val="2A760392"/>
    <w:rsid w:val="2AA03780"/>
    <w:rsid w:val="2AC749B3"/>
    <w:rsid w:val="2ADE61BC"/>
    <w:rsid w:val="2AE13EFE"/>
    <w:rsid w:val="2AE31EC2"/>
    <w:rsid w:val="2AF3793F"/>
    <w:rsid w:val="2AF92FF6"/>
    <w:rsid w:val="2B057BED"/>
    <w:rsid w:val="2B322A7B"/>
    <w:rsid w:val="2B397896"/>
    <w:rsid w:val="2B3B716B"/>
    <w:rsid w:val="2B45623B"/>
    <w:rsid w:val="2B47568D"/>
    <w:rsid w:val="2B62123C"/>
    <w:rsid w:val="2B681F2A"/>
    <w:rsid w:val="2B764647"/>
    <w:rsid w:val="2B852ADC"/>
    <w:rsid w:val="2B9920E3"/>
    <w:rsid w:val="2B9D1BD3"/>
    <w:rsid w:val="2BA23EA4"/>
    <w:rsid w:val="2BBD4024"/>
    <w:rsid w:val="2BBF5C96"/>
    <w:rsid w:val="2BD561F6"/>
    <w:rsid w:val="2BE81A92"/>
    <w:rsid w:val="2BF04E1B"/>
    <w:rsid w:val="2BF206F4"/>
    <w:rsid w:val="2BFD2672"/>
    <w:rsid w:val="2C097269"/>
    <w:rsid w:val="2C175CFD"/>
    <w:rsid w:val="2C210A56"/>
    <w:rsid w:val="2C235A42"/>
    <w:rsid w:val="2C275941"/>
    <w:rsid w:val="2C55584A"/>
    <w:rsid w:val="2C5A3F68"/>
    <w:rsid w:val="2C6646BB"/>
    <w:rsid w:val="2C720914"/>
    <w:rsid w:val="2C90798A"/>
    <w:rsid w:val="2C970D19"/>
    <w:rsid w:val="2C972AC7"/>
    <w:rsid w:val="2C976F4D"/>
    <w:rsid w:val="2C9A4365"/>
    <w:rsid w:val="2CA70915"/>
    <w:rsid w:val="2CAE7E10"/>
    <w:rsid w:val="2CC12A3B"/>
    <w:rsid w:val="2CCE2260"/>
    <w:rsid w:val="2CCE400E"/>
    <w:rsid w:val="2CD37420"/>
    <w:rsid w:val="2CDD6196"/>
    <w:rsid w:val="2CEB40DF"/>
    <w:rsid w:val="2CEE0030"/>
    <w:rsid w:val="2D062034"/>
    <w:rsid w:val="2D093BCC"/>
    <w:rsid w:val="2D1D28FA"/>
    <w:rsid w:val="2D214A86"/>
    <w:rsid w:val="2D3E1194"/>
    <w:rsid w:val="2D7352E2"/>
    <w:rsid w:val="2D811081"/>
    <w:rsid w:val="2D8233C6"/>
    <w:rsid w:val="2D8B1D17"/>
    <w:rsid w:val="2D9577C3"/>
    <w:rsid w:val="2D9B714E"/>
    <w:rsid w:val="2DA84860"/>
    <w:rsid w:val="2DB43204"/>
    <w:rsid w:val="2DB46201"/>
    <w:rsid w:val="2DC35B91"/>
    <w:rsid w:val="2DD218DC"/>
    <w:rsid w:val="2DD35D80"/>
    <w:rsid w:val="2DF1367E"/>
    <w:rsid w:val="2DF21058"/>
    <w:rsid w:val="2DFD104F"/>
    <w:rsid w:val="2DFE0AA8"/>
    <w:rsid w:val="2E01656D"/>
    <w:rsid w:val="2E027B47"/>
    <w:rsid w:val="2E2859C9"/>
    <w:rsid w:val="2E2E1209"/>
    <w:rsid w:val="2E3F51C4"/>
    <w:rsid w:val="2E4247CC"/>
    <w:rsid w:val="2E431036"/>
    <w:rsid w:val="2E474078"/>
    <w:rsid w:val="2E514EF7"/>
    <w:rsid w:val="2E6B5E2E"/>
    <w:rsid w:val="2E771C70"/>
    <w:rsid w:val="2E7F3BD6"/>
    <w:rsid w:val="2E884DBD"/>
    <w:rsid w:val="2E924215"/>
    <w:rsid w:val="2EB15996"/>
    <w:rsid w:val="2EBC045D"/>
    <w:rsid w:val="2ECA3F28"/>
    <w:rsid w:val="2ED022C0"/>
    <w:rsid w:val="2ED31DB0"/>
    <w:rsid w:val="2ED824E4"/>
    <w:rsid w:val="2EE43FBD"/>
    <w:rsid w:val="2EE95224"/>
    <w:rsid w:val="2EFB7E8F"/>
    <w:rsid w:val="2F0A5D38"/>
    <w:rsid w:val="2F0B2A0E"/>
    <w:rsid w:val="2F0D661F"/>
    <w:rsid w:val="2F1934CA"/>
    <w:rsid w:val="2F2D0988"/>
    <w:rsid w:val="2F2E6FE6"/>
    <w:rsid w:val="2F5010D3"/>
    <w:rsid w:val="2F507FFA"/>
    <w:rsid w:val="2F522CD5"/>
    <w:rsid w:val="2F642F4F"/>
    <w:rsid w:val="2F745C7B"/>
    <w:rsid w:val="2F77273B"/>
    <w:rsid w:val="2F873D0E"/>
    <w:rsid w:val="2F901C22"/>
    <w:rsid w:val="2F9741D0"/>
    <w:rsid w:val="2F97505B"/>
    <w:rsid w:val="2F9F74CB"/>
    <w:rsid w:val="2FAD5239"/>
    <w:rsid w:val="2FC12015"/>
    <w:rsid w:val="2FCA31B3"/>
    <w:rsid w:val="2FCC083B"/>
    <w:rsid w:val="2FCF2577"/>
    <w:rsid w:val="2FD6687D"/>
    <w:rsid w:val="2FE172CC"/>
    <w:rsid w:val="300B7796"/>
    <w:rsid w:val="30112B90"/>
    <w:rsid w:val="30180474"/>
    <w:rsid w:val="30231051"/>
    <w:rsid w:val="302A5A00"/>
    <w:rsid w:val="302D6BFA"/>
    <w:rsid w:val="304545E8"/>
    <w:rsid w:val="30550CCF"/>
    <w:rsid w:val="307D1FD3"/>
    <w:rsid w:val="309317F7"/>
    <w:rsid w:val="30A47560"/>
    <w:rsid w:val="30BA4FD6"/>
    <w:rsid w:val="30D81900"/>
    <w:rsid w:val="30DB3ABC"/>
    <w:rsid w:val="30E07EBD"/>
    <w:rsid w:val="30EF1894"/>
    <w:rsid w:val="30F93033"/>
    <w:rsid w:val="310176D8"/>
    <w:rsid w:val="31093867"/>
    <w:rsid w:val="310A276C"/>
    <w:rsid w:val="313C1E8F"/>
    <w:rsid w:val="313E763F"/>
    <w:rsid w:val="3143640D"/>
    <w:rsid w:val="31507AEE"/>
    <w:rsid w:val="316710EB"/>
    <w:rsid w:val="316D0111"/>
    <w:rsid w:val="317D71ED"/>
    <w:rsid w:val="319C5625"/>
    <w:rsid w:val="31A53F1C"/>
    <w:rsid w:val="31D73965"/>
    <w:rsid w:val="31E7004C"/>
    <w:rsid w:val="31E83B1D"/>
    <w:rsid w:val="32023AB2"/>
    <w:rsid w:val="320A6574"/>
    <w:rsid w:val="320D1173"/>
    <w:rsid w:val="322A5AB4"/>
    <w:rsid w:val="32335040"/>
    <w:rsid w:val="325356E2"/>
    <w:rsid w:val="32562ADC"/>
    <w:rsid w:val="32574E9B"/>
    <w:rsid w:val="32596EB3"/>
    <w:rsid w:val="32666DBF"/>
    <w:rsid w:val="326F741B"/>
    <w:rsid w:val="327025C1"/>
    <w:rsid w:val="327876B1"/>
    <w:rsid w:val="32805DAB"/>
    <w:rsid w:val="32A70F41"/>
    <w:rsid w:val="32BF0681"/>
    <w:rsid w:val="32D11EE7"/>
    <w:rsid w:val="32D63C1D"/>
    <w:rsid w:val="32D83E39"/>
    <w:rsid w:val="32E47A54"/>
    <w:rsid w:val="32F256B8"/>
    <w:rsid w:val="32F80037"/>
    <w:rsid w:val="32FB51CD"/>
    <w:rsid w:val="32FC189C"/>
    <w:rsid w:val="32FC18D5"/>
    <w:rsid w:val="33015879"/>
    <w:rsid w:val="33092F58"/>
    <w:rsid w:val="33136C1F"/>
    <w:rsid w:val="33142830"/>
    <w:rsid w:val="3317670F"/>
    <w:rsid w:val="33376053"/>
    <w:rsid w:val="333E3E94"/>
    <w:rsid w:val="33686311"/>
    <w:rsid w:val="33781721"/>
    <w:rsid w:val="337F42B4"/>
    <w:rsid w:val="339733AC"/>
    <w:rsid w:val="339F58F3"/>
    <w:rsid w:val="33C86F17"/>
    <w:rsid w:val="33DE1F8B"/>
    <w:rsid w:val="33DF6B0A"/>
    <w:rsid w:val="33FF1BE3"/>
    <w:rsid w:val="340845E2"/>
    <w:rsid w:val="340A6274"/>
    <w:rsid w:val="34393683"/>
    <w:rsid w:val="348F0527"/>
    <w:rsid w:val="34A34C85"/>
    <w:rsid w:val="34A9783B"/>
    <w:rsid w:val="34BD3731"/>
    <w:rsid w:val="34DF325D"/>
    <w:rsid w:val="34FA3BF3"/>
    <w:rsid w:val="34FC2C69"/>
    <w:rsid w:val="34FF38FF"/>
    <w:rsid w:val="35004F81"/>
    <w:rsid w:val="3503538F"/>
    <w:rsid w:val="3504770B"/>
    <w:rsid w:val="350F2772"/>
    <w:rsid w:val="351515FF"/>
    <w:rsid w:val="35172DE6"/>
    <w:rsid w:val="351E12D0"/>
    <w:rsid w:val="352765C3"/>
    <w:rsid w:val="35487054"/>
    <w:rsid w:val="356928AF"/>
    <w:rsid w:val="357A4D33"/>
    <w:rsid w:val="358160C2"/>
    <w:rsid w:val="359A3628"/>
    <w:rsid w:val="359E6C74"/>
    <w:rsid w:val="35A02439"/>
    <w:rsid w:val="35B50461"/>
    <w:rsid w:val="35C366DA"/>
    <w:rsid w:val="35CA164F"/>
    <w:rsid w:val="35F72828"/>
    <w:rsid w:val="35FE3BB6"/>
    <w:rsid w:val="36034740"/>
    <w:rsid w:val="360C59BA"/>
    <w:rsid w:val="36426C2F"/>
    <w:rsid w:val="364C2F9C"/>
    <w:rsid w:val="36524012"/>
    <w:rsid w:val="365732C7"/>
    <w:rsid w:val="366963C1"/>
    <w:rsid w:val="36781EAF"/>
    <w:rsid w:val="367B3FC7"/>
    <w:rsid w:val="368D025B"/>
    <w:rsid w:val="36BB73C0"/>
    <w:rsid w:val="36C56482"/>
    <w:rsid w:val="36D218B4"/>
    <w:rsid w:val="36D31349"/>
    <w:rsid w:val="36D610C2"/>
    <w:rsid w:val="36E85F55"/>
    <w:rsid w:val="36EB413B"/>
    <w:rsid w:val="36EE59D9"/>
    <w:rsid w:val="37007DB2"/>
    <w:rsid w:val="37070506"/>
    <w:rsid w:val="37070849"/>
    <w:rsid w:val="371863D5"/>
    <w:rsid w:val="371C2924"/>
    <w:rsid w:val="371D2E85"/>
    <w:rsid w:val="37252BD9"/>
    <w:rsid w:val="37254D37"/>
    <w:rsid w:val="37294C63"/>
    <w:rsid w:val="37415E50"/>
    <w:rsid w:val="374B122E"/>
    <w:rsid w:val="37503F9E"/>
    <w:rsid w:val="377542A0"/>
    <w:rsid w:val="377B6CAC"/>
    <w:rsid w:val="37841E99"/>
    <w:rsid w:val="378B5A8C"/>
    <w:rsid w:val="37936580"/>
    <w:rsid w:val="37A367C3"/>
    <w:rsid w:val="37A80BE0"/>
    <w:rsid w:val="37BE35FD"/>
    <w:rsid w:val="37C624B2"/>
    <w:rsid w:val="37DC1CD5"/>
    <w:rsid w:val="381A7166"/>
    <w:rsid w:val="381E1BDF"/>
    <w:rsid w:val="381E7EF9"/>
    <w:rsid w:val="383E473E"/>
    <w:rsid w:val="38490ED5"/>
    <w:rsid w:val="384D36B2"/>
    <w:rsid w:val="38531C3E"/>
    <w:rsid w:val="385C44DA"/>
    <w:rsid w:val="38613AA5"/>
    <w:rsid w:val="387B0678"/>
    <w:rsid w:val="388228BD"/>
    <w:rsid w:val="388C36FB"/>
    <w:rsid w:val="38A124E2"/>
    <w:rsid w:val="38A42ACA"/>
    <w:rsid w:val="38A67729"/>
    <w:rsid w:val="38B36EDA"/>
    <w:rsid w:val="38C06F01"/>
    <w:rsid w:val="38D806EF"/>
    <w:rsid w:val="38D94B53"/>
    <w:rsid w:val="38DE382B"/>
    <w:rsid w:val="38E373CA"/>
    <w:rsid w:val="38F44CE7"/>
    <w:rsid w:val="38F512A1"/>
    <w:rsid w:val="39007C46"/>
    <w:rsid w:val="39137979"/>
    <w:rsid w:val="392B0908"/>
    <w:rsid w:val="3934169D"/>
    <w:rsid w:val="394C570F"/>
    <w:rsid w:val="394E09B1"/>
    <w:rsid w:val="395C0B98"/>
    <w:rsid w:val="39676969"/>
    <w:rsid w:val="398E60A6"/>
    <w:rsid w:val="39A33044"/>
    <w:rsid w:val="39B04856"/>
    <w:rsid w:val="39D17811"/>
    <w:rsid w:val="39DF7405"/>
    <w:rsid w:val="39F50E2C"/>
    <w:rsid w:val="39F94DC1"/>
    <w:rsid w:val="3A024DDC"/>
    <w:rsid w:val="3A0A2773"/>
    <w:rsid w:val="3A1E7B28"/>
    <w:rsid w:val="3A211C22"/>
    <w:rsid w:val="3A467074"/>
    <w:rsid w:val="3A5230A0"/>
    <w:rsid w:val="3A5B15D7"/>
    <w:rsid w:val="3A5B5E6C"/>
    <w:rsid w:val="3A5E2E76"/>
    <w:rsid w:val="3A6156E3"/>
    <w:rsid w:val="3A76701F"/>
    <w:rsid w:val="3A7C32FC"/>
    <w:rsid w:val="3AA80702"/>
    <w:rsid w:val="3AB25A08"/>
    <w:rsid w:val="3AC06BF4"/>
    <w:rsid w:val="3ACD4450"/>
    <w:rsid w:val="3AD04653"/>
    <w:rsid w:val="3AD76FC5"/>
    <w:rsid w:val="3AE143A1"/>
    <w:rsid w:val="3AEE244B"/>
    <w:rsid w:val="3AF01869"/>
    <w:rsid w:val="3AF32221"/>
    <w:rsid w:val="3AF86B5A"/>
    <w:rsid w:val="3AFB5E98"/>
    <w:rsid w:val="3B077069"/>
    <w:rsid w:val="3B0C28D2"/>
    <w:rsid w:val="3B0D0B61"/>
    <w:rsid w:val="3B117EE8"/>
    <w:rsid w:val="3B1C2E9B"/>
    <w:rsid w:val="3B367023"/>
    <w:rsid w:val="3B517E2C"/>
    <w:rsid w:val="3B726B20"/>
    <w:rsid w:val="3B8707FB"/>
    <w:rsid w:val="3B8A37F6"/>
    <w:rsid w:val="3BB75B4D"/>
    <w:rsid w:val="3BC86CBE"/>
    <w:rsid w:val="3BC9431F"/>
    <w:rsid w:val="3C06060F"/>
    <w:rsid w:val="3C146C83"/>
    <w:rsid w:val="3C1553DA"/>
    <w:rsid w:val="3C1C08F2"/>
    <w:rsid w:val="3C2557FF"/>
    <w:rsid w:val="3C2C54FC"/>
    <w:rsid w:val="3C4340D1"/>
    <w:rsid w:val="3C604B53"/>
    <w:rsid w:val="3C6278E4"/>
    <w:rsid w:val="3C7653ED"/>
    <w:rsid w:val="3C8A7E52"/>
    <w:rsid w:val="3C8F12E2"/>
    <w:rsid w:val="3CE753A4"/>
    <w:rsid w:val="3D0B7FB1"/>
    <w:rsid w:val="3D197528"/>
    <w:rsid w:val="3D2832C7"/>
    <w:rsid w:val="3D2A5291"/>
    <w:rsid w:val="3D2F0AF9"/>
    <w:rsid w:val="3D3305EA"/>
    <w:rsid w:val="3D393726"/>
    <w:rsid w:val="3D3F1F09"/>
    <w:rsid w:val="3D491BBB"/>
    <w:rsid w:val="3D731183"/>
    <w:rsid w:val="3D981E3A"/>
    <w:rsid w:val="3DA07301"/>
    <w:rsid w:val="3DAF79C4"/>
    <w:rsid w:val="3DB039E8"/>
    <w:rsid w:val="3DB93EC6"/>
    <w:rsid w:val="3DC07812"/>
    <w:rsid w:val="3DC41242"/>
    <w:rsid w:val="3DC45289"/>
    <w:rsid w:val="3DC54FBA"/>
    <w:rsid w:val="3DE71C98"/>
    <w:rsid w:val="3DE87D1F"/>
    <w:rsid w:val="3E04307F"/>
    <w:rsid w:val="3E0E06A7"/>
    <w:rsid w:val="3E2148E6"/>
    <w:rsid w:val="3E265A58"/>
    <w:rsid w:val="3E2B7ED3"/>
    <w:rsid w:val="3E3536F9"/>
    <w:rsid w:val="3E3A1504"/>
    <w:rsid w:val="3E3A5BA6"/>
    <w:rsid w:val="3E3C150D"/>
    <w:rsid w:val="3E642A25"/>
    <w:rsid w:val="3E6F4D96"/>
    <w:rsid w:val="3E720C9E"/>
    <w:rsid w:val="3E7A5899"/>
    <w:rsid w:val="3E8059EE"/>
    <w:rsid w:val="3E8567C1"/>
    <w:rsid w:val="3E88142C"/>
    <w:rsid w:val="3E8E35FE"/>
    <w:rsid w:val="3EBB0897"/>
    <w:rsid w:val="3EC26CA0"/>
    <w:rsid w:val="3ED03C16"/>
    <w:rsid w:val="3ED34BE9"/>
    <w:rsid w:val="3EE31B9B"/>
    <w:rsid w:val="3EF01996"/>
    <w:rsid w:val="3EF81412"/>
    <w:rsid w:val="3F0652EA"/>
    <w:rsid w:val="3F15023A"/>
    <w:rsid w:val="3F1C5008"/>
    <w:rsid w:val="3F2521B4"/>
    <w:rsid w:val="3F3917BB"/>
    <w:rsid w:val="3F3950CC"/>
    <w:rsid w:val="3F5B4D21"/>
    <w:rsid w:val="3F60143E"/>
    <w:rsid w:val="3F710F55"/>
    <w:rsid w:val="3F762A0F"/>
    <w:rsid w:val="3F7A2278"/>
    <w:rsid w:val="3F7F7B16"/>
    <w:rsid w:val="3F892743"/>
    <w:rsid w:val="3F8B4243"/>
    <w:rsid w:val="3F9E7F2C"/>
    <w:rsid w:val="3FA330D9"/>
    <w:rsid w:val="3FB672B0"/>
    <w:rsid w:val="3FC048FF"/>
    <w:rsid w:val="3FE21E53"/>
    <w:rsid w:val="3FE61943"/>
    <w:rsid w:val="40026051"/>
    <w:rsid w:val="400611FF"/>
    <w:rsid w:val="40307ED7"/>
    <w:rsid w:val="404E573A"/>
    <w:rsid w:val="405274DE"/>
    <w:rsid w:val="40545408"/>
    <w:rsid w:val="40833636"/>
    <w:rsid w:val="40857CE9"/>
    <w:rsid w:val="40AE30AC"/>
    <w:rsid w:val="40B52091"/>
    <w:rsid w:val="40C60753"/>
    <w:rsid w:val="40CD2B03"/>
    <w:rsid w:val="40EE1716"/>
    <w:rsid w:val="40F260C6"/>
    <w:rsid w:val="40F31B12"/>
    <w:rsid w:val="40FE12C3"/>
    <w:rsid w:val="41112945"/>
    <w:rsid w:val="411F0150"/>
    <w:rsid w:val="41284F74"/>
    <w:rsid w:val="41415F05"/>
    <w:rsid w:val="4170284A"/>
    <w:rsid w:val="41865449"/>
    <w:rsid w:val="418E34B6"/>
    <w:rsid w:val="41953174"/>
    <w:rsid w:val="41B002DA"/>
    <w:rsid w:val="41B11ADD"/>
    <w:rsid w:val="41B33585"/>
    <w:rsid w:val="41BB295C"/>
    <w:rsid w:val="41BD42ED"/>
    <w:rsid w:val="41C63B4B"/>
    <w:rsid w:val="41E25FEF"/>
    <w:rsid w:val="41EF130C"/>
    <w:rsid w:val="41F30347"/>
    <w:rsid w:val="42014C57"/>
    <w:rsid w:val="42116A20"/>
    <w:rsid w:val="421502BE"/>
    <w:rsid w:val="422113F5"/>
    <w:rsid w:val="42277FF1"/>
    <w:rsid w:val="423D4CA0"/>
    <w:rsid w:val="423F358D"/>
    <w:rsid w:val="423F438F"/>
    <w:rsid w:val="424871B5"/>
    <w:rsid w:val="425010F3"/>
    <w:rsid w:val="425103BC"/>
    <w:rsid w:val="425C7F20"/>
    <w:rsid w:val="426923B8"/>
    <w:rsid w:val="426C1EA8"/>
    <w:rsid w:val="42731488"/>
    <w:rsid w:val="42AA56EE"/>
    <w:rsid w:val="42B20202"/>
    <w:rsid w:val="42C2380B"/>
    <w:rsid w:val="42D503DF"/>
    <w:rsid w:val="42D76829"/>
    <w:rsid w:val="42D77C69"/>
    <w:rsid w:val="42F56A34"/>
    <w:rsid w:val="43170066"/>
    <w:rsid w:val="43302ED5"/>
    <w:rsid w:val="43452E25"/>
    <w:rsid w:val="43617533"/>
    <w:rsid w:val="437F3029"/>
    <w:rsid w:val="437F7839"/>
    <w:rsid w:val="43842F40"/>
    <w:rsid w:val="439F7019"/>
    <w:rsid w:val="43B70846"/>
    <w:rsid w:val="43B7301C"/>
    <w:rsid w:val="43CB425C"/>
    <w:rsid w:val="43D21DC5"/>
    <w:rsid w:val="43E63E72"/>
    <w:rsid w:val="43F80BBA"/>
    <w:rsid w:val="43F860E9"/>
    <w:rsid w:val="43FE4D82"/>
    <w:rsid w:val="4400614C"/>
    <w:rsid w:val="44065E0E"/>
    <w:rsid w:val="441D78FE"/>
    <w:rsid w:val="441F5424"/>
    <w:rsid w:val="442962A2"/>
    <w:rsid w:val="442B49AF"/>
    <w:rsid w:val="442F4747"/>
    <w:rsid w:val="443231BD"/>
    <w:rsid w:val="4436251C"/>
    <w:rsid w:val="443B5939"/>
    <w:rsid w:val="443D58AA"/>
    <w:rsid w:val="446217B4"/>
    <w:rsid w:val="44654E01"/>
    <w:rsid w:val="447C62F5"/>
    <w:rsid w:val="447F6DCC"/>
    <w:rsid w:val="44983654"/>
    <w:rsid w:val="44C14C7A"/>
    <w:rsid w:val="44C164DB"/>
    <w:rsid w:val="44C54CEF"/>
    <w:rsid w:val="44D206E8"/>
    <w:rsid w:val="44D95376"/>
    <w:rsid w:val="44E54467"/>
    <w:rsid w:val="44EE00C1"/>
    <w:rsid w:val="44F63408"/>
    <w:rsid w:val="44F7014F"/>
    <w:rsid w:val="44F806D0"/>
    <w:rsid w:val="44FF20B3"/>
    <w:rsid w:val="45124F88"/>
    <w:rsid w:val="452437BB"/>
    <w:rsid w:val="452627E2"/>
    <w:rsid w:val="452B429C"/>
    <w:rsid w:val="452D6CCD"/>
    <w:rsid w:val="452F5FE5"/>
    <w:rsid w:val="454554B1"/>
    <w:rsid w:val="456125C2"/>
    <w:rsid w:val="458326A1"/>
    <w:rsid w:val="45857508"/>
    <w:rsid w:val="45A6363E"/>
    <w:rsid w:val="45BF2DEA"/>
    <w:rsid w:val="45CC3844"/>
    <w:rsid w:val="45CF69D6"/>
    <w:rsid w:val="45D64208"/>
    <w:rsid w:val="45E600F7"/>
    <w:rsid w:val="4602485A"/>
    <w:rsid w:val="460A6FC5"/>
    <w:rsid w:val="46184820"/>
    <w:rsid w:val="46221AC5"/>
    <w:rsid w:val="462C207A"/>
    <w:rsid w:val="4630260D"/>
    <w:rsid w:val="46302E25"/>
    <w:rsid w:val="46452393"/>
    <w:rsid w:val="464C6278"/>
    <w:rsid w:val="465313B5"/>
    <w:rsid w:val="465663AA"/>
    <w:rsid w:val="46845A8D"/>
    <w:rsid w:val="468B1768"/>
    <w:rsid w:val="46D7474A"/>
    <w:rsid w:val="46F6477A"/>
    <w:rsid w:val="470E0080"/>
    <w:rsid w:val="47175674"/>
    <w:rsid w:val="472E78E4"/>
    <w:rsid w:val="47376F28"/>
    <w:rsid w:val="47395E3D"/>
    <w:rsid w:val="47580F9C"/>
    <w:rsid w:val="475F1FDB"/>
    <w:rsid w:val="47653583"/>
    <w:rsid w:val="476A07A8"/>
    <w:rsid w:val="47737835"/>
    <w:rsid w:val="47754394"/>
    <w:rsid w:val="4776328E"/>
    <w:rsid w:val="47775577"/>
    <w:rsid w:val="47777325"/>
    <w:rsid w:val="47835CCA"/>
    <w:rsid w:val="47894316"/>
    <w:rsid w:val="478E6EC1"/>
    <w:rsid w:val="4797166F"/>
    <w:rsid w:val="479A1A05"/>
    <w:rsid w:val="479B205F"/>
    <w:rsid w:val="479C6D8B"/>
    <w:rsid w:val="479E7EA4"/>
    <w:rsid w:val="479F1ABF"/>
    <w:rsid w:val="47B64B77"/>
    <w:rsid w:val="47B9793D"/>
    <w:rsid w:val="47C14800"/>
    <w:rsid w:val="47C744C5"/>
    <w:rsid w:val="47CF5CA8"/>
    <w:rsid w:val="47D50A51"/>
    <w:rsid w:val="47D6229D"/>
    <w:rsid w:val="47DA1160"/>
    <w:rsid w:val="480E3649"/>
    <w:rsid w:val="48117779"/>
    <w:rsid w:val="48141C26"/>
    <w:rsid w:val="481A6395"/>
    <w:rsid w:val="48205C0E"/>
    <w:rsid w:val="4826706B"/>
    <w:rsid w:val="482728EE"/>
    <w:rsid w:val="48496F13"/>
    <w:rsid w:val="485A77AF"/>
    <w:rsid w:val="486D028E"/>
    <w:rsid w:val="486F624E"/>
    <w:rsid w:val="48722F90"/>
    <w:rsid w:val="48861F15"/>
    <w:rsid w:val="488F1511"/>
    <w:rsid w:val="48901983"/>
    <w:rsid w:val="489066FB"/>
    <w:rsid w:val="489D2DBB"/>
    <w:rsid w:val="48A22FD7"/>
    <w:rsid w:val="48CB4A71"/>
    <w:rsid w:val="48CC544E"/>
    <w:rsid w:val="48DA5DBD"/>
    <w:rsid w:val="48DE348E"/>
    <w:rsid w:val="48EE7ABB"/>
    <w:rsid w:val="48FC1A3E"/>
    <w:rsid w:val="490436CB"/>
    <w:rsid w:val="49181CA2"/>
    <w:rsid w:val="491D7821"/>
    <w:rsid w:val="492A5825"/>
    <w:rsid w:val="492E62A1"/>
    <w:rsid w:val="493279A7"/>
    <w:rsid w:val="49396C20"/>
    <w:rsid w:val="49415E3C"/>
    <w:rsid w:val="4950669B"/>
    <w:rsid w:val="49523BA5"/>
    <w:rsid w:val="49553303"/>
    <w:rsid w:val="495E4484"/>
    <w:rsid w:val="49667651"/>
    <w:rsid w:val="496D09DF"/>
    <w:rsid w:val="49AB1508"/>
    <w:rsid w:val="49AF5892"/>
    <w:rsid w:val="49B07936"/>
    <w:rsid w:val="49B76D2B"/>
    <w:rsid w:val="49B93C25"/>
    <w:rsid w:val="49CD147E"/>
    <w:rsid w:val="49D92B46"/>
    <w:rsid w:val="4A097A1B"/>
    <w:rsid w:val="4A273284"/>
    <w:rsid w:val="4A454E67"/>
    <w:rsid w:val="4A4D188C"/>
    <w:rsid w:val="4A556FE7"/>
    <w:rsid w:val="4A7E5B2E"/>
    <w:rsid w:val="4A857FAB"/>
    <w:rsid w:val="4A897A9B"/>
    <w:rsid w:val="4A93776D"/>
    <w:rsid w:val="4A993A56"/>
    <w:rsid w:val="4A9B61E5"/>
    <w:rsid w:val="4AAB2679"/>
    <w:rsid w:val="4AAD5E27"/>
    <w:rsid w:val="4AD14F9E"/>
    <w:rsid w:val="4AD4683C"/>
    <w:rsid w:val="4AD858C1"/>
    <w:rsid w:val="4AEB582E"/>
    <w:rsid w:val="4AEB5842"/>
    <w:rsid w:val="4AEF3676"/>
    <w:rsid w:val="4B007631"/>
    <w:rsid w:val="4B0E61F2"/>
    <w:rsid w:val="4B1B7256"/>
    <w:rsid w:val="4B1C1CAE"/>
    <w:rsid w:val="4B1D6435"/>
    <w:rsid w:val="4B29302C"/>
    <w:rsid w:val="4B4238AD"/>
    <w:rsid w:val="4B4439C2"/>
    <w:rsid w:val="4B7818BD"/>
    <w:rsid w:val="4B7C7F5A"/>
    <w:rsid w:val="4B7D05F5"/>
    <w:rsid w:val="4B8244EA"/>
    <w:rsid w:val="4B9F32EE"/>
    <w:rsid w:val="4BA50DED"/>
    <w:rsid w:val="4BAC3705"/>
    <w:rsid w:val="4BB90E27"/>
    <w:rsid w:val="4BD44D46"/>
    <w:rsid w:val="4BD905AE"/>
    <w:rsid w:val="4BF7508A"/>
    <w:rsid w:val="4C082C41"/>
    <w:rsid w:val="4C090972"/>
    <w:rsid w:val="4C1F5CE2"/>
    <w:rsid w:val="4C352C77"/>
    <w:rsid w:val="4C3E70F3"/>
    <w:rsid w:val="4C4872BC"/>
    <w:rsid w:val="4C5A40D5"/>
    <w:rsid w:val="4C600EC1"/>
    <w:rsid w:val="4C64099B"/>
    <w:rsid w:val="4C6836E0"/>
    <w:rsid w:val="4C704112"/>
    <w:rsid w:val="4C7B248F"/>
    <w:rsid w:val="4C7B78B7"/>
    <w:rsid w:val="4C806CB9"/>
    <w:rsid w:val="4C855396"/>
    <w:rsid w:val="4C910E89"/>
    <w:rsid w:val="4C935DD8"/>
    <w:rsid w:val="4C947AEE"/>
    <w:rsid w:val="4C984932"/>
    <w:rsid w:val="4C9E10ED"/>
    <w:rsid w:val="4CA23096"/>
    <w:rsid w:val="4CA706AC"/>
    <w:rsid w:val="4CA971B9"/>
    <w:rsid w:val="4CC53955"/>
    <w:rsid w:val="4CCE79E7"/>
    <w:rsid w:val="4CE4545C"/>
    <w:rsid w:val="4CED7F85"/>
    <w:rsid w:val="4CEF70C7"/>
    <w:rsid w:val="4CF014D8"/>
    <w:rsid w:val="4CF15D4A"/>
    <w:rsid w:val="4CF452F0"/>
    <w:rsid w:val="4CF961DB"/>
    <w:rsid w:val="4CFE4613"/>
    <w:rsid w:val="4D100546"/>
    <w:rsid w:val="4D3145AD"/>
    <w:rsid w:val="4D360A3D"/>
    <w:rsid w:val="4D534390"/>
    <w:rsid w:val="4D585B30"/>
    <w:rsid w:val="4D602609"/>
    <w:rsid w:val="4D627D53"/>
    <w:rsid w:val="4D7F4521"/>
    <w:rsid w:val="4D8458A0"/>
    <w:rsid w:val="4D853C59"/>
    <w:rsid w:val="4D8B1576"/>
    <w:rsid w:val="4D8C1224"/>
    <w:rsid w:val="4D907392"/>
    <w:rsid w:val="4D92575F"/>
    <w:rsid w:val="4D9D2DCA"/>
    <w:rsid w:val="4DB017E2"/>
    <w:rsid w:val="4DB35A69"/>
    <w:rsid w:val="4DEF40B9"/>
    <w:rsid w:val="4DFF0074"/>
    <w:rsid w:val="4E126148"/>
    <w:rsid w:val="4E141D71"/>
    <w:rsid w:val="4E1648B5"/>
    <w:rsid w:val="4E18526D"/>
    <w:rsid w:val="4E1F0CE2"/>
    <w:rsid w:val="4E2669EA"/>
    <w:rsid w:val="4E494801"/>
    <w:rsid w:val="4E54216E"/>
    <w:rsid w:val="4E685FE7"/>
    <w:rsid w:val="4E6D5A04"/>
    <w:rsid w:val="4E7A4EE1"/>
    <w:rsid w:val="4EA56E6D"/>
    <w:rsid w:val="4EA647B1"/>
    <w:rsid w:val="4EAA4484"/>
    <w:rsid w:val="4EC549CB"/>
    <w:rsid w:val="4ECC563F"/>
    <w:rsid w:val="4EE96D5A"/>
    <w:rsid w:val="4EEE4D35"/>
    <w:rsid w:val="4EF2362B"/>
    <w:rsid w:val="4F075432"/>
    <w:rsid w:val="4F3178F9"/>
    <w:rsid w:val="4F786330"/>
    <w:rsid w:val="4F876B70"/>
    <w:rsid w:val="4F924D5E"/>
    <w:rsid w:val="4F9D7781"/>
    <w:rsid w:val="4F9F1B0F"/>
    <w:rsid w:val="4FB350C4"/>
    <w:rsid w:val="4FBE5DC5"/>
    <w:rsid w:val="4FCE2517"/>
    <w:rsid w:val="50064A6C"/>
    <w:rsid w:val="50134020"/>
    <w:rsid w:val="50146059"/>
    <w:rsid w:val="502907F8"/>
    <w:rsid w:val="50294293"/>
    <w:rsid w:val="503420FD"/>
    <w:rsid w:val="50395ABF"/>
    <w:rsid w:val="503E465F"/>
    <w:rsid w:val="505A77E4"/>
    <w:rsid w:val="50616DC4"/>
    <w:rsid w:val="5066262C"/>
    <w:rsid w:val="5070477E"/>
    <w:rsid w:val="50707007"/>
    <w:rsid w:val="507715F7"/>
    <w:rsid w:val="507864A6"/>
    <w:rsid w:val="507C1E50"/>
    <w:rsid w:val="50851A9A"/>
    <w:rsid w:val="5093764E"/>
    <w:rsid w:val="50C51101"/>
    <w:rsid w:val="50CF47A9"/>
    <w:rsid w:val="50FD551C"/>
    <w:rsid w:val="50FF5DEA"/>
    <w:rsid w:val="510E6E14"/>
    <w:rsid w:val="511B3417"/>
    <w:rsid w:val="51267B90"/>
    <w:rsid w:val="51497F84"/>
    <w:rsid w:val="514A2B65"/>
    <w:rsid w:val="51532BB1"/>
    <w:rsid w:val="5158207F"/>
    <w:rsid w:val="515F71A6"/>
    <w:rsid w:val="516052CE"/>
    <w:rsid w:val="51723CB6"/>
    <w:rsid w:val="51842D6A"/>
    <w:rsid w:val="51930CC1"/>
    <w:rsid w:val="51BD30A5"/>
    <w:rsid w:val="51C4585C"/>
    <w:rsid w:val="51D81009"/>
    <w:rsid w:val="51F15F26"/>
    <w:rsid w:val="51FA5304"/>
    <w:rsid w:val="51FC6DA4"/>
    <w:rsid w:val="522B768A"/>
    <w:rsid w:val="523E2C07"/>
    <w:rsid w:val="52434EB9"/>
    <w:rsid w:val="527F5A52"/>
    <w:rsid w:val="52A116FA"/>
    <w:rsid w:val="52DC0984"/>
    <w:rsid w:val="52FD23FF"/>
    <w:rsid w:val="532145E9"/>
    <w:rsid w:val="534244A5"/>
    <w:rsid w:val="535D7D17"/>
    <w:rsid w:val="53620E89"/>
    <w:rsid w:val="53715141"/>
    <w:rsid w:val="537513CB"/>
    <w:rsid w:val="5388136E"/>
    <w:rsid w:val="53982AFD"/>
    <w:rsid w:val="53A9759F"/>
    <w:rsid w:val="53BA2E6A"/>
    <w:rsid w:val="53E73A84"/>
    <w:rsid w:val="53E75B77"/>
    <w:rsid w:val="53F641AA"/>
    <w:rsid w:val="53F71F19"/>
    <w:rsid w:val="53F961F8"/>
    <w:rsid w:val="53FC4665"/>
    <w:rsid w:val="53FE0A5C"/>
    <w:rsid w:val="54032364"/>
    <w:rsid w:val="540E21E9"/>
    <w:rsid w:val="542258CB"/>
    <w:rsid w:val="542645AC"/>
    <w:rsid w:val="542F0EF6"/>
    <w:rsid w:val="543D36A4"/>
    <w:rsid w:val="54493DF7"/>
    <w:rsid w:val="54655EF4"/>
    <w:rsid w:val="54780ED0"/>
    <w:rsid w:val="547F5A6B"/>
    <w:rsid w:val="54992FD0"/>
    <w:rsid w:val="54A63942"/>
    <w:rsid w:val="54B43966"/>
    <w:rsid w:val="54BF4C96"/>
    <w:rsid w:val="54C03CE8"/>
    <w:rsid w:val="54C87412"/>
    <w:rsid w:val="54C93027"/>
    <w:rsid w:val="54DD7595"/>
    <w:rsid w:val="54E45DEC"/>
    <w:rsid w:val="54F147CB"/>
    <w:rsid w:val="54FA3343"/>
    <w:rsid w:val="55031B8A"/>
    <w:rsid w:val="55055F70"/>
    <w:rsid w:val="55393E6B"/>
    <w:rsid w:val="553E6ED5"/>
    <w:rsid w:val="554C053E"/>
    <w:rsid w:val="55670E61"/>
    <w:rsid w:val="55887895"/>
    <w:rsid w:val="55943798"/>
    <w:rsid w:val="55985036"/>
    <w:rsid w:val="55991C0F"/>
    <w:rsid w:val="55AD03B6"/>
    <w:rsid w:val="55AE6607"/>
    <w:rsid w:val="55AF1B1C"/>
    <w:rsid w:val="55ED386A"/>
    <w:rsid w:val="55F25230"/>
    <w:rsid w:val="55F85AD5"/>
    <w:rsid w:val="55FA0CB7"/>
    <w:rsid w:val="561A52ED"/>
    <w:rsid w:val="565B7EBC"/>
    <w:rsid w:val="56617B1E"/>
    <w:rsid w:val="566273F2"/>
    <w:rsid w:val="56642DC8"/>
    <w:rsid w:val="566D5AC2"/>
    <w:rsid w:val="567340F9"/>
    <w:rsid w:val="5677522A"/>
    <w:rsid w:val="56A93FD1"/>
    <w:rsid w:val="56B3200F"/>
    <w:rsid w:val="56B527FF"/>
    <w:rsid w:val="56B7127C"/>
    <w:rsid w:val="56BE16E4"/>
    <w:rsid w:val="56D16B1F"/>
    <w:rsid w:val="56D42F69"/>
    <w:rsid w:val="56DD49FC"/>
    <w:rsid w:val="56F1088E"/>
    <w:rsid w:val="57004D99"/>
    <w:rsid w:val="570E484E"/>
    <w:rsid w:val="5712354B"/>
    <w:rsid w:val="57203094"/>
    <w:rsid w:val="572A6162"/>
    <w:rsid w:val="57337F1D"/>
    <w:rsid w:val="57505B82"/>
    <w:rsid w:val="57561AA4"/>
    <w:rsid w:val="57634C64"/>
    <w:rsid w:val="57661D17"/>
    <w:rsid w:val="578A4E52"/>
    <w:rsid w:val="578A5A9D"/>
    <w:rsid w:val="57921F51"/>
    <w:rsid w:val="57956714"/>
    <w:rsid w:val="57B95737"/>
    <w:rsid w:val="57CA34A1"/>
    <w:rsid w:val="57FD73D2"/>
    <w:rsid w:val="57FE02AA"/>
    <w:rsid w:val="57FE314A"/>
    <w:rsid w:val="580503C9"/>
    <w:rsid w:val="580E1A21"/>
    <w:rsid w:val="581117B2"/>
    <w:rsid w:val="58156EBD"/>
    <w:rsid w:val="58276B45"/>
    <w:rsid w:val="582A3F3F"/>
    <w:rsid w:val="583354EA"/>
    <w:rsid w:val="583A23D4"/>
    <w:rsid w:val="584414A5"/>
    <w:rsid w:val="588C5150"/>
    <w:rsid w:val="58B60473"/>
    <w:rsid w:val="58C87A37"/>
    <w:rsid w:val="58E30CBE"/>
    <w:rsid w:val="58E839D5"/>
    <w:rsid w:val="58FC0B88"/>
    <w:rsid w:val="591874EC"/>
    <w:rsid w:val="59255AAB"/>
    <w:rsid w:val="593058FE"/>
    <w:rsid w:val="5937112D"/>
    <w:rsid w:val="593E568D"/>
    <w:rsid w:val="594F6CE6"/>
    <w:rsid w:val="59537A71"/>
    <w:rsid w:val="595E0345"/>
    <w:rsid w:val="59920FB2"/>
    <w:rsid w:val="599845E8"/>
    <w:rsid w:val="59B12B6A"/>
    <w:rsid w:val="59C43B99"/>
    <w:rsid w:val="59D61D60"/>
    <w:rsid w:val="59DC6687"/>
    <w:rsid w:val="59E56370"/>
    <w:rsid w:val="59F45AD3"/>
    <w:rsid w:val="59F564AD"/>
    <w:rsid w:val="5A153559"/>
    <w:rsid w:val="5A1B16AD"/>
    <w:rsid w:val="5A1F7AD4"/>
    <w:rsid w:val="5A276A57"/>
    <w:rsid w:val="5A4D140C"/>
    <w:rsid w:val="5A76346C"/>
    <w:rsid w:val="5A7B0A82"/>
    <w:rsid w:val="5A8B04CD"/>
    <w:rsid w:val="5A8D7133"/>
    <w:rsid w:val="5A8E178F"/>
    <w:rsid w:val="5A8F5B75"/>
    <w:rsid w:val="5AB95EA6"/>
    <w:rsid w:val="5AB97E17"/>
    <w:rsid w:val="5AD703B9"/>
    <w:rsid w:val="5AE12FDB"/>
    <w:rsid w:val="5B047F69"/>
    <w:rsid w:val="5B4B48F9"/>
    <w:rsid w:val="5B583789"/>
    <w:rsid w:val="5B6854AA"/>
    <w:rsid w:val="5B7C4AB2"/>
    <w:rsid w:val="5B897611"/>
    <w:rsid w:val="5BA06C6A"/>
    <w:rsid w:val="5BA74A5A"/>
    <w:rsid w:val="5BC94167"/>
    <w:rsid w:val="5BCE6E97"/>
    <w:rsid w:val="5BD953E6"/>
    <w:rsid w:val="5BE014E5"/>
    <w:rsid w:val="5BEF408B"/>
    <w:rsid w:val="5BF926DB"/>
    <w:rsid w:val="5C082938"/>
    <w:rsid w:val="5C0C22DA"/>
    <w:rsid w:val="5C1057C9"/>
    <w:rsid w:val="5C1720BB"/>
    <w:rsid w:val="5C270EC2"/>
    <w:rsid w:val="5C3A6097"/>
    <w:rsid w:val="5C3B6D80"/>
    <w:rsid w:val="5C3E3F17"/>
    <w:rsid w:val="5C405E51"/>
    <w:rsid w:val="5C57349D"/>
    <w:rsid w:val="5C5F68AD"/>
    <w:rsid w:val="5C6829C8"/>
    <w:rsid w:val="5C763BF7"/>
    <w:rsid w:val="5C7F0CFE"/>
    <w:rsid w:val="5C8B5F7C"/>
    <w:rsid w:val="5CBD5382"/>
    <w:rsid w:val="5CC04F7C"/>
    <w:rsid w:val="5CC82976"/>
    <w:rsid w:val="5CDF354A"/>
    <w:rsid w:val="5CF07506"/>
    <w:rsid w:val="5D134000"/>
    <w:rsid w:val="5D4A0F8A"/>
    <w:rsid w:val="5D581761"/>
    <w:rsid w:val="5D7E2271"/>
    <w:rsid w:val="5D944335"/>
    <w:rsid w:val="5D9E1AF3"/>
    <w:rsid w:val="5DB93670"/>
    <w:rsid w:val="5DD010E5"/>
    <w:rsid w:val="5DDE1A54"/>
    <w:rsid w:val="5DEA664B"/>
    <w:rsid w:val="5DEC7E3E"/>
    <w:rsid w:val="5E1007B4"/>
    <w:rsid w:val="5E117725"/>
    <w:rsid w:val="5E19304C"/>
    <w:rsid w:val="5E1A1DD6"/>
    <w:rsid w:val="5E2F0521"/>
    <w:rsid w:val="5E2F405E"/>
    <w:rsid w:val="5E4B7CEE"/>
    <w:rsid w:val="5E5E2DA3"/>
    <w:rsid w:val="5E66635E"/>
    <w:rsid w:val="5E6C0022"/>
    <w:rsid w:val="5E714676"/>
    <w:rsid w:val="5E820631"/>
    <w:rsid w:val="5E9900E0"/>
    <w:rsid w:val="5E9B16F3"/>
    <w:rsid w:val="5E9F1AC6"/>
    <w:rsid w:val="5EA921B8"/>
    <w:rsid w:val="5EB07284"/>
    <w:rsid w:val="5EBF1885"/>
    <w:rsid w:val="5EFD415C"/>
    <w:rsid w:val="5F353CD1"/>
    <w:rsid w:val="5F3F26D8"/>
    <w:rsid w:val="5F441D8B"/>
    <w:rsid w:val="5F463BDA"/>
    <w:rsid w:val="5F4D6E91"/>
    <w:rsid w:val="5F6D531F"/>
    <w:rsid w:val="5F6F6E89"/>
    <w:rsid w:val="5F7A1C50"/>
    <w:rsid w:val="5F942D12"/>
    <w:rsid w:val="5F993381"/>
    <w:rsid w:val="5FC82AA3"/>
    <w:rsid w:val="5FDA449D"/>
    <w:rsid w:val="5FE00F80"/>
    <w:rsid w:val="5FF93664"/>
    <w:rsid w:val="5FFE018B"/>
    <w:rsid w:val="60011A2A"/>
    <w:rsid w:val="60145C01"/>
    <w:rsid w:val="60395667"/>
    <w:rsid w:val="604265FC"/>
    <w:rsid w:val="606049A2"/>
    <w:rsid w:val="60833A23"/>
    <w:rsid w:val="60B37BB5"/>
    <w:rsid w:val="60B7769A"/>
    <w:rsid w:val="60D02280"/>
    <w:rsid w:val="60E27AAD"/>
    <w:rsid w:val="60FB46CB"/>
    <w:rsid w:val="60FC1022"/>
    <w:rsid w:val="61163776"/>
    <w:rsid w:val="61191051"/>
    <w:rsid w:val="611E1385"/>
    <w:rsid w:val="613A1697"/>
    <w:rsid w:val="61536D9F"/>
    <w:rsid w:val="615F10FE"/>
    <w:rsid w:val="615F4C5A"/>
    <w:rsid w:val="61657C61"/>
    <w:rsid w:val="616F368A"/>
    <w:rsid w:val="6192502F"/>
    <w:rsid w:val="61A502D9"/>
    <w:rsid w:val="61AA184A"/>
    <w:rsid w:val="61C807BC"/>
    <w:rsid w:val="61D23203"/>
    <w:rsid w:val="61E022D6"/>
    <w:rsid w:val="61EF4230"/>
    <w:rsid w:val="61FA4982"/>
    <w:rsid w:val="620F6680"/>
    <w:rsid w:val="62102DC3"/>
    <w:rsid w:val="62210161"/>
    <w:rsid w:val="62214605"/>
    <w:rsid w:val="622E2697"/>
    <w:rsid w:val="62487DE4"/>
    <w:rsid w:val="626764BC"/>
    <w:rsid w:val="626F5699"/>
    <w:rsid w:val="62797F9D"/>
    <w:rsid w:val="627D58AE"/>
    <w:rsid w:val="629A40A6"/>
    <w:rsid w:val="62A0552A"/>
    <w:rsid w:val="62AB6046"/>
    <w:rsid w:val="62AF1C11"/>
    <w:rsid w:val="62B868D8"/>
    <w:rsid w:val="62C05BCC"/>
    <w:rsid w:val="62CC4571"/>
    <w:rsid w:val="62E742D1"/>
    <w:rsid w:val="62F63C35"/>
    <w:rsid w:val="62F77414"/>
    <w:rsid w:val="63007412"/>
    <w:rsid w:val="63156017"/>
    <w:rsid w:val="633E09C2"/>
    <w:rsid w:val="63450A41"/>
    <w:rsid w:val="634A3309"/>
    <w:rsid w:val="634B193A"/>
    <w:rsid w:val="635B76A3"/>
    <w:rsid w:val="637864A7"/>
    <w:rsid w:val="637B0197"/>
    <w:rsid w:val="637D0DAA"/>
    <w:rsid w:val="637D3ABD"/>
    <w:rsid w:val="63815527"/>
    <w:rsid w:val="638469D3"/>
    <w:rsid w:val="638603B0"/>
    <w:rsid w:val="63893AB6"/>
    <w:rsid w:val="63992456"/>
    <w:rsid w:val="63B3508A"/>
    <w:rsid w:val="63E710A7"/>
    <w:rsid w:val="63E8362C"/>
    <w:rsid w:val="63E87188"/>
    <w:rsid w:val="64007B18"/>
    <w:rsid w:val="640D0F6D"/>
    <w:rsid w:val="640D3B8B"/>
    <w:rsid w:val="64165FEB"/>
    <w:rsid w:val="641937E6"/>
    <w:rsid w:val="641A755E"/>
    <w:rsid w:val="641C2437"/>
    <w:rsid w:val="64295CF7"/>
    <w:rsid w:val="643D73F1"/>
    <w:rsid w:val="64520321"/>
    <w:rsid w:val="64551AA2"/>
    <w:rsid w:val="645F01E2"/>
    <w:rsid w:val="646C600B"/>
    <w:rsid w:val="64705A99"/>
    <w:rsid w:val="647A5CB9"/>
    <w:rsid w:val="647B1C20"/>
    <w:rsid w:val="647E5D3F"/>
    <w:rsid w:val="64812B59"/>
    <w:rsid w:val="64957EB7"/>
    <w:rsid w:val="64A57B2D"/>
    <w:rsid w:val="64A64F1F"/>
    <w:rsid w:val="64AD1CF4"/>
    <w:rsid w:val="64B36D77"/>
    <w:rsid w:val="64CB0CDD"/>
    <w:rsid w:val="64CF659A"/>
    <w:rsid w:val="64ED07CF"/>
    <w:rsid w:val="64F920B9"/>
    <w:rsid w:val="65064C2A"/>
    <w:rsid w:val="65105F29"/>
    <w:rsid w:val="65262602"/>
    <w:rsid w:val="655A0B79"/>
    <w:rsid w:val="65634A0B"/>
    <w:rsid w:val="65670E6D"/>
    <w:rsid w:val="65695292"/>
    <w:rsid w:val="656960A7"/>
    <w:rsid w:val="65736E7E"/>
    <w:rsid w:val="657F5D22"/>
    <w:rsid w:val="658D448B"/>
    <w:rsid w:val="6590309D"/>
    <w:rsid w:val="659550EE"/>
    <w:rsid w:val="65A83DA4"/>
    <w:rsid w:val="65AF7D19"/>
    <w:rsid w:val="65BE210A"/>
    <w:rsid w:val="65C17276"/>
    <w:rsid w:val="65CA4E84"/>
    <w:rsid w:val="65E9543A"/>
    <w:rsid w:val="66092497"/>
    <w:rsid w:val="660E6C4E"/>
    <w:rsid w:val="66155421"/>
    <w:rsid w:val="66157FDD"/>
    <w:rsid w:val="66220CEE"/>
    <w:rsid w:val="66287D10"/>
    <w:rsid w:val="663D7FAB"/>
    <w:rsid w:val="664C5D35"/>
    <w:rsid w:val="665144C8"/>
    <w:rsid w:val="6660394E"/>
    <w:rsid w:val="66682803"/>
    <w:rsid w:val="668E4139"/>
    <w:rsid w:val="669A530C"/>
    <w:rsid w:val="669C425A"/>
    <w:rsid w:val="66B30F46"/>
    <w:rsid w:val="66B437BF"/>
    <w:rsid w:val="66B613D6"/>
    <w:rsid w:val="66B64958"/>
    <w:rsid w:val="66B83C92"/>
    <w:rsid w:val="66E67C5D"/>
    <w:rsid w:val="66FA633B"/>
    <w:rsid w:val="66FB3677"/>
    <w:rsid w:val="670349F0"/>
    <w:rsid w:val="67362901"/>
    <w:rsid w:val="673A33A0"/>
    <w:rsid w:val="673B61E6"/>
    <w:rsid w:val="673E4008"/>
    <w:rsid w:val="674638DD"/>
    <w:rsid w:val="67482C2F"/>
    <w:rsid w:val="674A015A"/>
    <w:rsid w:val="6766670A"/>
    <w:rsid w:val="676A6106"/>
    <w:rsid w:val="677207D8"/>
    <w:rsid w:val="67746F85"/>
    <w:rsid w:val="67802CA9"/>
    <w:rsid w:val="6791267E"/>
    <w:rsid w:val="679338AF"/>
    <w:rsid w:val="67A85F4B"/>
    <w:rsid w:val="67AE06E9"/>
    <w:rsid w:val="67B03343"/>
    <w:rsid w:val="67B96FB7"/>
    <w:rsid w:val="67C972D1"/>
    <w:rsid w:val="67CB23D6"/>
    <w:rsid w:val="67D73664"/>
    <w:rsid w:val="67D85766"/>
    <w:rsid w:val="67E73BFB"/>
    <w:rsid w:val="67EC2B56"/>
    <w:rsid w:val="67F2141D"/>
    <w:rsid w:val="67FD6F7B"/>
    <w:rsid w:val="680868B9"/>
    <w:rsid w:val="68091DC3"/>
    <w:rsid w:val="680975BA"/>
    <w:rsid w:val="681349F0"/>
    <w:rsid w:val="68153C99"/>
    <w:rsid w:val="68155CD8"/>
    <w:rsid w:val="68234815"/>
    <w:rsid w:val="682C4391"/>
    <w:rsid w:val="68356714"/>
    <w:rsid w:val="683A3D2B"/>
    <w:rsid w:val="68455B52"/>
    <w:rsid w:val="68465D84"/>
    <w:rsid w:val="685D5C0C"/>
    <w:rsid w:val="686D76A6"/>
    <w:rsid w:val="68735EEA"/>
    <w:rsid w:val="68795569"/>
    <w:rsid w:val="687E5DF8"/>
    <w:rsid w:val="68834BBC"/>
    <w:rsid w:val="68A6520E"/>
    <w:rsid w:val="68AA7102"/>
    <w:rsid w:val="68B1654A"/>
    <w:rsid w:val="68B574E7"/>
    <w:rsid w:val="68B63CF9"/>
    <w:rsid w:val="68B90E5B"/>
    <w:rsid w:val="68BE495C"/>
    <w:rsid w:val="68D04DC4"/>
    <w:rsid w:val="68EF4B15"/>
    <w:rsid w:val="69182276"/>
    <w:rsid w:val="691B1DAE"/>
    <w:rsid w:val="692549DB"/>
    <w:rsid w:val="692B0EFA"/>
    <w:rsid w:val="693410C2"/>
    <w:rsid w:val="695249AA"/>
    <w:rsid w:val="696A47F2"/>
    <w:rsid w:val="69842CB6"/>
    <w:rsid w:val="699F7753"/>
    <w:rsid w:val="69A04531"/>
    <w:rsid w:val="69A3168E"/>
    <w:rsid w:val="69A903E9"/>
    <w:rsid w:val="69B31FE7"/>
    <w:rsid w:val="69C12C49"/>
    <w:rsid w:val="69D87020"/>
    <w:rsid w:val="69EC54F9"/>
    <w:rsid w:val="69F560C5"/>
    <w:rsid w:val="69F66377"/>
    <w:rsid w:val="6A0A4204"/>
    <w:rsid w:val="6A1330E9"/>
    <w:rsid w:val="6A2C753F"/>
    <w:rsid w:val="6A3F1ACC"/>
    <w:rsid w:val="6A406EAF"/>
    <w:rsid w:val="6A74171F"/>
    <w:rsid w:val="6A7E6841"/>
    <w:rsid w:val="6A885221"/>
    <w:rsid w:val="6AA45DD3"/>
    <w:rsid w:val="6AAF1BEF"/>
    <w:rsid w:val="6AB458C4"/>
    <w:rsid w:val="6AC81AC2"/>
    <w:rsid w:val="6ACD0E86"/>
    <w:rsid w:val="6AD0466B"/>
    <w:rsid w:val="6AEA7C8A"/>
    <w:rsid w:val="6AED3C73"/>
    <w:rsid w:val="6AF830B1"/>
    <w:rsid w:val="6AF9127D"/>
    <w:rsid w:val="6B013226"/>
    <w:rsid w:val="6B06447D"/>
    <w:rsid w:val="6B0A032C"/>
    <w:rsid w:val="6B0E5745"/>
    <w:rsid w:val="6B264A3A"/>
    <w:rsid w:val="6B2F7D93"/>
    <w:rsid w:val="6B317667"/>
    <w:rsid w:val="6B324F97"/>
    <w:rsid w:val="6B3907D5"/>
    <w:rsid w:val="6B5E5F82"/>
    <w:rsid w:val="6B610AED"/>
    <w:rsid w:val="6B675892"/>
    <w:rsid w:val="6B6E08BB"/>
    <w:rsid w:val="6B723D06"/>
    <w:rsid w:val="6B7B415C"/>
    <w:rsid w:val="6BA7401B"/>
    <w:rsid w:val="6BB32772"/>
    <w:rsid w:val="6BB74D82"/>
    <w:rsid w:val="6BCB1127"/>
    <w:rsid w:val="6BD828CD"/>
    <w:rsid w:val="6BEE5558"/>
    <w:rsid w:val="6C042FCD"/>
    <w:rsid w:val="6C07661A"/>
    <w:rsid w:val="6C0F0AD3"/>
    <w:rsid w:val="6C1F1BB5"/>
    <w:rsid w:val="6C621AA2"/>
    <w:rsid w:val="6C635F46"/>
    <w:rsid w:val="6C67530A"/>
    <w:rsid w:val="6C98443C"/>
    <w:rsid w:val="6CA21582"/>
    <w:rsid w:val="6CB240AE"/>
    <w:rsid w:val="6CB44840"/>
    <w:rsid w:val="6CC14A1B"/>
    <w:rsid w:val="6CC85207"/>
    <w:rsid w:val="6CC9154D"/>
    <w:rsid w:val="6CDF1345"/>
    <w:rsid w:val="6CF54AB8"/>
    <w:rsid w:val="6CFC5A53"/>
    <w:rsid w:val="6CFE78DF"/>
    <w:rsid w:val="6D121330"/>
    <w:rsid w:val="6D23068C"/>
    <w:rsid w:val="6D293FA7"/>
    <w:rsid w:val="6D2D1E43"/>
    <w:rsid w:val="6D391A56"/>
    <w:rsid w:val="6D394EF9"/>
    <w:rsid w:val="6D4C1FCA"/>
    <w:rsid w:val="6D6A66D4"/>
    <w:rsid w:val="6D8552BC"/>
    <w:rsid w:val="6D867E7D"/>
    <w:rsid w:val="6D9D6B86"/>
    <w:rsid w:val="6DA1296C"/>
    <w:rsid w:val="6DBE0F5A"/>
    <w:rsid w:val="6DC81948"/>
    <w:rsid w:val="6DDD4132"/>
    <w:rsid w:val="6DE50BDD"/>
    <w:rsid w:val="6DF16E28"/>
    <w:rsid w:val="6E095BF5"/>
    <w:rsid w:val="6E2A4841"/>
    <w:rsid w:val="6E3F02ED"/>
    <w:rsid w:val="6E414065"/>
    <w:rsid w:val="6E437B98"/>
    <w:rsid w:val="6E466864"/>
    <w:rsid w:val="6E851A78"/>
    <w:rsid w:val="6E906D9A"/>
    <w:rsid w:val="6EA2378D"/>
    <w:rsid w:val="6EAB14DE"/>
    <w:rsid w:val="6EAB7730"/>
    <w:rsid w:val="6EC91D52"/>
    <w:rsid w:val="6ED33C53"/>
    <w:rsid w:val="6EDA1C27"/>
    <w:rsid w:val="6EE00F7A"/>
    <w:rsid w:val="6F225B2F"/>
    <w:rsid w:val="6F277850"/>
    <w:rsid w:val="6F323C7D"/>
    <w:rsid w:val="6F3E05A4"/>
    <w:rsid w:val="6F411E43"/>
    <w:rsid w:val="6F4E40D0"/>
    <w:rsid w:val="6F4F442E"/>
    <w:rsid w:val="6F5B1156"/>
    <w:rsid w:val="6F656006"/>
    <w:rsid w:val="6F6C106B"/>
    <w:rsid w:val="6F71622F"/>
    <w:rsid w:val="6F8109F3"/>
    <w:rsid w:val="6F975F07"/>
    <w:rsid w:val="6F9B59F7"/>
    <w:rsid w:val="6FB42615"/>
    <w:rsid w:val="6FB7462F"/>
    <w:rsid w:val="6FC767EC"/>
    <w:rsid w:val="6FC87ACE"/>
    <w:rsid w:val="6FD76303"/>
    <w:rsid w:val="6FDD7FCF"/>
    <w:rsid w:val="703134FA"/>
    <w:rsid w:val="703136BE"/>
    <w:rsid w:val="704A4D27"/>
    <w:rsid w:val="704B33B6"/>
    <w:rsid w:val="70683AF1"/>
    <w:rsid w:val="706A0768"/>
    <w:rsid w:val="706F1E1D"/>
    <w:rsid w:val="70761FC0"/>
    <w:rsid w:val="70781894"/>
    <w:rsid w:val="70840695"/>
    <w:rsid w:val="7084377A"/>
    <w:rsid w:val="70952446"/>
    <w:rsid w:val="709E4336"/>
    <w:rsid w:val="70AE17B8"/>
    <w:rsid w:val="70CE4911"/>
    <w:rsid w:val="70F17F84"/>
    <w:rsid w:val="70F25AEA"/>
    <w:rsid w:val="70F51137"/>
    <w:rsid w:val="70FF1FB5"/>
    <w:rsid w:val="71071C5C"/>
    <w:rsid w:val="711B191E"/>
    <w:rsid w:val="712367FA"/>
    <w:rsid w:val="7128128D"/>
    <w:rsid w:val="713B7C54"/>
    <w:rsid w:val="715C2F64"/>
    <w:rsid w:val="715E0D1A"/>
    <w:rsid w:val="71602412"/>
    <w:rsid w:val="716E194C"/>
    <w:rsid w:val="71845839"/>
    <w:rsid w:val="719C15B2"/>
    <w:rsid w:val="71A338EF"/>
    <w:rsid w:val="71A40BE1"/>
    <w:rsid w:val="71AC667D"/>
    <w:rsid w:val="71B36DAE"/>
    <w:rsid w:val="71CA25C3"/>
    <w:rsid w:val="71D3686D"/>
    <w:rsid w:val="71D92AF9"/>
    <w:rsid w:val="71F03F54"/>
    <w:rsid w:val="71F87130"/>
    <w:rsid w:val="71FF2360"/>
    <w:rsid w:val="720158B9"/>
    <w:rsid w:val="7209659F"/>
    <w:rsid w:val="72252EC6"/>
    <w:rsid w:val="722A535E"/>
    <w:rsid w:val="723C3642"/>
    <w:rsid w:val="72441AC9"/>
    <w:rsid w:val="72523B0B"/>
    <w:rsid w:val="725B332F"/>
    <w:rsid w:val="7275610E"/>
    <w:rsid w:val="72760055"/>
    <w:rsid w:val="727B38BE"/>
    <w:rsid w:val="728201C0"/>
    <w:rsid w:val="729105CA"/>
    <w:rsid w:val="729C3F60"/>
    <w:rsid w:val="72A2709C"/>
    <w:rsid w:val="72AF6DF2"/>
    <w:rsid w:val="72C60FDD"/>
    <w:rsid w:val="72CA1467"/>
    <w:rsid w:val="72D56863"/>
    <w:rsid w:val="72DC2208"/>
    <w:rsid w:val="72F53670"/>
    <w:rsid w:val="72FE7375"/>
    <w:rsid w:val="73090C77"/>
    <w:rsid w:val="730D190E"/>
    <w:rsid w:val="73105F23"/>
    <w:rsid w:val="731F06ED"/>
    <w:rsid w:val="73236203"/>
    <w:rsid w:val="73361182"/>
    <w:rsid w:val="7338355D"/>
    <w:rsid w:val="735C0115"/>
    <w:rsid w:val="738022BD"/>
    <w:rsid w:val="73830C7C"/>
    <w:rsid w:val="73835ECC"/>
    <w:rsid w:val="7386076C"/>
    <w:rsid w:val="73922C6D"/>
    <w:rsid w:val="73A8419C"/>
    <w:rsid w:val="73B2330F"/>
    <w:rsid w:val="73B61051"/>
    <w:rsid w:val="73E36DE4"/>
    <w:rsid w:val="73E55492"/>
    <w:rsid w:val="73F34A61"/>
    <w:rsid w:val="73F531FC"/>
    <w:rsid w:val="73FB4CB6"/>
    <w:rsid w:val="7416389E"/>
    <w:rsid w:val="741B0EB4"/>
    <w:rsid w:val="74251D33"/>
    <w:rsid w:val="74280E7C"/>
    <w:rsid w:val="744C3764"/>
    <w:rsid w:val="746E0A40"/>
    <w:rsid w:val="74714F78"/>
    <w:rsid w:val="7473539A"/>
    <w:rsid w:val="7483088A"/>
    <w:rsid w:val="74933140"/>
    <w:rsid w:val="74B125DC"/>
    <w:rsid w:val="74B61FB3"/>
    <w:rsid w:val="74CC46EF"/>
    <w:rsid w:val="74E16C66"/>
    <w:rsid w:val="74EE6AD0"/>
    <w:rsid w:val="74F2294A"/>
    <w:rsid w:val="75036C4E"/>
    <w:rsid w:val="75047B9A"/>
    <w:rsid w:val="7506297D"/>
    <w:rsid w:val="75093403"/>
    <w:rsid w:val="752E2E69"/>
    <w:rsid w:val="75314B66"/>
    <w:rsid w:val="753A3CD1"/>
    <w:rsid w:val="753C5586"/>
    <w:rsid w:val="754465DB"/>
    <w:rsid w:val="75630D65"/>
    <w:rsid w:val="757A7E5C"/>
    <w:rsid w:val="757F5473"/>
    <w:rsid w:val="758F3128"/>
    <w:rsid w:val="75AE70EC"/>
    <w:rsid w:val="75B50E95"/>
    <w:rsid w:val="75D73A39"/>
    <w:rsid w:val="75D92DD5"/>
    <w:rsid w:val="75F145C2"/>
    <w:rsid w:val="75FB0196"/>
    <w:rsid w:val="761107C1"/>
    <w:rsid w:val="761A4999"/>
    <w:rsid w:val="76372139"/>
    <w:rsid w:val="763E28DD"/>
    <w:rsid w:val="764A6BCC"/>
    <w:rsid w:val="764D731F"/>
    <w:rsid w:val="764F53E5"/>
    <w:rsid w:val="76544B51"/>
    <w:rsid w:val="76764AC8"/>
    <w:rsid w:val="767B0330"/>
    <w:rsid w:val="768267CB"/>
    <w:rsid w:val="76932749"/>
    <w:rsid w:val="76A35191"/>
    <w:rsid w:val="76BE138A"/>
    <w:rsid w:val="76C9109B"/>
    <w:rsid w:val="76D50943"/>
    <w:rsid w:val="76D8679F"/>
    <w:rsid w:val="76D9664B"/>
    <w:rsid w:val="76DD4B47"/>
    <w:rsid w:val="76EA57E2"/>
    <w:rsid w:val="76FA08A5"/>
    <w:rsid w:val="76FB01F8"/>
    <w:rsid w:val="77111DA5"/>
    <w:rsid w:val="7731279D"/>
    <w:rsid w:val="7735228D"/>
    <w:rsid w:val="77372D4D"/>
    <w:rsid w:val="77420E4E"/>
    <w:rsid w:val="7743682A"/>
    <w:rsid w:val="775B24FD"/>
    <w:rsid w:val="779D5B14"/>
    <w:rsid w:val="77B27D81"/>
    <w:rsid w:val="77B50DDE"/>
    <w:rsid w:val="77B612E7"/>
    <w:rsid w:val="77B91110"/>
    <w:rsid w:val="77BB312B"/>
    <w:rsid w:val="77CD242A"/>
    <w:rsid w:val="77E43CB3"/>
    <w:rsid w:val="77EA7EF7"/>
    <w:rsid w:val="780954C8"/>
    <w:rsid w:val="780D42FD"/>
    <w:rsid w:val="78180FE3"/>
    <w:rsid w:val="784D4711"/>
    <w:rsid w:val="7858337E"/>
    <w:rsid w:val="78591FAB"/>
    <w:rsid w:val="78635D19"/>
    <w:rsid w:val="786C47F2"/>
    <w:rsid w:val="787B7B00"/>
    <w:rsid w:val="788700B7"/>
    <w:rsid w:val="78886693"/>
    <w:rsid w:val="788B412F"/>
    <w:rsid w:val="78945A6C"/>
    <w:rsid w:val="78A752AE"/>
    <w:rsid w:val="78EC46F3"/>
    <w:rsid w:val="78EE019F"/>
    <w:rsid w:val="78EE27A7"/>
    <w:rsid w:val="78F27408"/>
    <w:rsid w:val="79142376"/>
    <w:rsid w:val="7917511C"/>
    <w:rsid w:val="79386064"/>
    <w:rsid w:val="79473E64"/>
    <w:rsid w:val="795750F1"/>
    <w:rsid w:val="79587293"/>
    <w:rsid w:val="79690914"/>
    <w:rsid w:val="796C7055"/>
    <w:rsid w:val="79751861"/>
    <w:rsid w:val="79752E15"/>
    <w:rsid w:val="798017B9"/>
    <w:rsid w:val="798440F8"/>
    <w:rsid w:val="799C2A97"/>
    <w:rsid w:val="79B93095"/>
    <w:rsid w:val="79B93EB0"/>
    <w:rsid w:val="79BA4CCB"/>
    <w:rsid w:val="79BF0534"/>
    <w:rsid w:val="79C45B4A"/>
    <w:rsid w:val="79C63670"/>
    <w:rsid w:val="79E32474"/>
    <w:rsid w:val="7A010B4C"/>
    <w:rsid w:val="7A0E5017"/>
    <w:rsid w:val="7A15284A"/>
    <w:rsid w:val="7A1C14E2"/>
    <w:rsid w:val="7A2C1EEB"/>
    <w:rsid w:val="7A342CD0"/>
    <w:rsid w:val="7A3D25DE"/>
    <w:rsid w:val="7A436E28"/>
    <w:rsid w:val="7A540C7C"/>
    <w:rsid w:val="7A5969D7"/>
    <w:rsid w:val="7A7F1A71"/>
    <w:rsid w:val="7A7F76D3"/>
    <w:rsid w:val="7A9719D9"/>
    <w:rsid w:val="7A9A0048"/>
    <w:rsid w:val="7AA31C03"/>
    <w:rsid w:val="7AB70C14"/>
    <w:rsid w:val="7ABE675F"/>
    <w:rsid w:val="7ACC6858"/>
    <w:rsid w:val="7AD718AD"/>
    <w:rsid w:val="7AD7775D"/>
    <w:rsid w:val="7AE81EFB"/>
    <w:rsid w:val="7AF05834"/>
    <w:rsid w:val="7B0B2656"/>
    <w:rsid w:val="7B0E2001"/>
    <w:rsid w:val="7B2965AD"/>
    <w:rsid w:val="7B503B39"/>
    <w:rsid w:val="7B5041C1"/>
    <w:rsid w:val="7B515FB3"/>
    <w:rsid w:val="7B5A489D"/>
    <w:rsid w:val="7B684125"/>
    <w:rsid w:val="7B713AB0"/>
    <w:rsid w:val="7B7B1606"/>
    <w:rsid w:val="7B8D71CD"/>
    <w:rsid w:val="7B914152"/>
    <w:rsid w:val="7BAE6F1D"/>
    <w:rsid w:val="7BC44F7C"/>
    <w:rsid w:val="7BC70A13"/>
    <w:rsid w:val="7BD60614"/>
    <w:rsid w:val="7BDF2C11"/>
    <w:rsid w:val="7BE15BFF"/>
    <w:rsid w:val="7BE40725"/>
    <w:rsid w:val="7BE418FB"/>
    <w:rsid w:val="7C2B0D47"/>
    <w:rsid w:val="7C350F81"/>
    <w:rsid w:val="7C516BDF"/>
    <w:rsid w:val="7C5331B5"/>
    <w:rsid w:val="7C5B5536"/>
    <w:rsid w:val="7C6E3CB3"/>
    <w:rsid w:val="7C814ABD"/>
    <w:rsid w:val="7C8617DD"/>
    <w:rsid w:val="7CAA7279"/>
    <w:rsid w:val="7CE24F0D"/>
    <w:rsid w:val="7CE502B1"/>
    <w:rsid w:val="7CE54755"/>
    <w:rsid w:val="7CE73631"/>
    <w:rsid w:val="7CEF7382"/>
    <w:rsid w:val="7D006E99"/>
    <w:rsid w:val="7D23096E"/>
    <w:rsid w:val="7D2B5108"/>
    <w:rsid w:val="7D363BF9"/>
    <w:rsid w:val="7D425704"/>
    <w:rsid w:val="7D511176"/>
    <w:rsid w:val="7D561051"/>
    <w:rsid w:val="7D562F5D"/>
    <w:rsid w:val="7D605D5D"/>
    <w:rsid w:val="7D7819DB"/>
    <w:rsid w:val="7D7A4E9D"/>
    <w:rsid w:val="7D7B2618"/>
    <w:rsid w:val="7D86690C"/>
    <w:rsid w:val="7D8E647E"/>
    <w:rsid w:val="7D914B4C"/>
    <w:rsid w:val="7D947995"/>
    <w:rsid w:val="7D951CD7"/>
    <w:rsid w:val="7DA737B9"/>
    <w:rsid w:val="7DB54CF6"/>
    <w:rsid w:val="7DD154E3"/>
    <w:rsid w:val="7DD547CA"/>
    <w:rsid w:val="7DE71C43"/>
    <w:rsid w:val="7DFA6304"/>
    <w:rsid w:val="7DFE5624"/>
    <w:rsid w:val="7E30272E"/>
    <w:rsid w:val="7E423339"/>
    <w:rsid w:val="7E431733"/>
    <w:rsid w:val="7E495886"/>
    <w:rsid w:val="7E5356EF"/>
    <w:rsid w:val="7E6010EC"/>
    <w:rsid w:val="7E77762F"/>
    <w:rsid w:val="7E8469DB"/>
    <w:rsid w:val="7E8E2144"/>
    <w:rsid w:val="7EAB552B"/>
    <w:rsid w:val="7EB73ECF"/>
    <w:rsid w:val="7EBE0C59"/>
    <w:rsid w:val="7EC86B97"/>
    <w:rsid w:val="7EF15094"/>
    <w:rsid w:val="7EFF542A"/>
    <w:rsid w:val="7F0C71F8"/>
    <w:rsid w:val="7F141322"/>
    <w:rsid w:val="7F1B445E"/>
    <w:rsid w:val="7F201A75"/>
    <w:rsid w:val="7F2022CF"/>
    <w:rsid w:val="7F253B1C"/>
    <w:rsid w:val="7F327F32"/>
    <w:rsid w:val="7F33707D"/>
    <w:rsid w:val="7F371F51"/>
    <w:rsid w:val="7F39649F"/>
    <w:rsid w:val="7F45137C"/>
    <w:rsid w:val="7F484B27"/>
    <w:rsid w:val="7F724F2F"/>
    <w:rsid w:val="7F7335F0"/>
    <w:rsid w:val="7F7818B1"/>
    <w:rsid w:val="7F8C53CF"/>
    <w:rsid w:val="7FB1158D"/>
    <w:rsid w:val="7FC2498A"/>
    <w:rsid w:val="7FC253E0"/>
    <w:rsid w:val="7FC5019C"/>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74"/>
    <w:autoRedefine/>
    <w:qFormat/>
    <w:uiPriority w:val="0"/>
    <w:pPr>
      <w:keepNext/>
      <w:ind w:firstLine="0" w:firstLineChars="0"/>
      <w:jc w:val="center"/>
      <w:outlineLvl w:val="0"/>
    </w:pPr>
    <w:rPr>
      <w:b/>
      <w:bCs/>
      <w:sz w:val="36"/>
      <w:szCs w:val="36"/>
    </w:rPr>
  </w:style>
  <w:style w:type="paragraph" w:styleId="3">
    <w:name w:val="heading 2"/>
    <w:basedOn w:val="1"/>
    <w:next w:val="1"/>
    <w:link w:val="77"/>
    <w:autoRedefine/>
    <w:qFormat/>
    <w:uiPriority w:val="0"/>
    <w:pPr>
      <w:keepNext/>
      <w:keepLines/>
      <w:spacing w:before="120" w:beforeLines="50" w:after="120" w:afterLines="50" w:line="400" w:lineRule="exact"/>
      <w:ind w:firstLine="0" w:firstLineChars="0"/>
      <w:jc w:val="left"/>
      <w:outlineLvl w:val="1"/>
    </w:pPr>
    <w:rPr>
      <w:b/>
      <w:bCs/>
      <w:sz w:val="32"/>
      <w:szCs w:val="32"/>
    </w:rPr>
  </w:style>
  <w:style w:type="paragraph" w:styleId="4">
    <w:name w:val="heading 3"/>
    <w:basedOn w:val="1"/>
    <w:next w:val="1"/>
    <w:link w:val="78"/>
    <w:autoRedefine/>
    <w:qFormat/>
    <w:uiPriority w:val="0"/>
    <w:pPr>
      <w:keepNext/>
      <w:keepLines/>
      <w:ind w:firstLine="0" w:firstLineChars="0"/>
      <w:outlineLvl w:val="2"/>
    </w:pPr>
    <w:rPr>
      <w:b/>
      <w:bCs/>
      <w:sz w:val="28"/>
      <w:szCs w:val="28"/>
    </w:rPr>
  </w:style>
  <w:style w:type="paragraph" w:styleId="5">
    <w:name w:val="heading 4"/>
    <w:basedOn w:val="1"/>
    <w:next w:val="1"/>
    <w:link w:val="80"/>
    <w:autoRedefine/>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7"/>
    <w:link w:val="89"/>
    <w:autoRedefine/>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link w:val="90"/>
    <w:autoRedefine/>
    <w:qFormat/>
    <w:uiPriority w:val="0"/>
    <w:pPr>
      <w:keepNext/>
      <w:keepLines/>
      <w:numPr>
        <w:ilvl w:val="5"/>
        <w:numId w:val="1"/>
      </w:numPr>
      <w:spacing w:before="240" w:after="64" w:line="319" w:lineRule="auto"/>
      <w:outlineLvl w:val="5"/>
    </w:pPr>
    <w:rPr>
      <w:rFonts w:ascii="Arial" w:hAnsi="Arial" w:eastAsia="黑体"/>
      <w:b/>
      <w:bCs/>
    </w:rPr>
  </w:style>
  <w:style w:type="paragraph" w:styleId="9">
    <w:name w:val="heading 7"/>
    <w:basedOn w:val="1"/>
    <w:next w:val="1"/>
    <w:link w:val="91"/>
    <w:autoRedefine/>
    <w:qFormat/>
    <w:uiPriority w:val="0"/>
    <w:pPr>
      <w:keepNext/>
      <w:keepLines/>
      <w:numPr>
        <w:ilvl w:val="6"/>
        <w:numId w:val="1"/>
      </w:numPr>
      <w:spacing w:before="240" w:after="64" w:line="319" w:lineRule="auto"/>
      <w:outlineLvl w:val="6"/>
    </w:pPr>
    <w:rPr>
      <w:b/>
      <w:bCs/>
    </w:rPr>
  </w:style>
  <w:style w:type="paragraph" w:styleId="10">
    <w:name w:val="heading 8"/>
    <w:basedOn w:val="1"/>
    <w:next w:val="1"/>
    <w:link w:val="92"/>
    <w:autoRedefine/>
    <w:qFormat/>
    <w:uiPriority w:val="0"/>
    <w:pPr>
      <w:keepNext/>
      <w:keepLines/>
      <w:numPr>
        <w:ilvl w:val="7"/>
        <w:numId w:val="1"/>
      </w:numPr>
      <w:spacing w:before="240" w:after="64" w:line="319" w:lineRule="auto"/>
      <w:outlineLvl w:val="7"/>
    </w:pPr>
    <w:rPr>
      <w:rFonts w:ascii="Arial" w:hAnsi="Arial" w:eastAsia="黑体"/>
    </w:rPr>
  </w:style>
  <w:style w:type="paragraph" w:styleId="11">
    <w:name w:val="heading 9"/>
    <w:basedOn w:val="1"/>
    <w:next w:val="1"/>
    <w:link w:val="93"/>
    <w:autoRedefine/>
    <w:qFormat/>
    <w:uiPriority w:val="0"/>
    <w:pPr>
      <w:keepNext/>
      <w:keepLines/>
      <w:numPr>
        <w:ilvl w:val="8"/>
        <w:numId w:val="1"/>
      </w:numPr>
      <w:spacing w:before="240" w:after="64" w:line="319" w:lineRule="auto"/>
      <w:outlineLvl w:val="8"/>
    </w:pPr>
    <w:rPr>
      <w:rFonts w:ascii="Arial" w:hAnsi="Arial" w:eastAsia="黑体"/>
      <w:sz w:val="21"/>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9"/>
    <w:autoRedefine/>
    <w:qFormat/>
    <w:uiPriority w:val="0"/>
    <w:pPr>
      <w:ind w:firstLine="420"/>
    </w:pPr>
    <w:rPr>
      <w:sz w:val="21"/>
      <w:szCs w:val="21"/>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qFormat/>
    <w:uiPriority w:val="0"/>
    <w:pPr>
      <w:ind w:left="1440"/>
      <w:jc w:val="left"/>
    </w:pPr>
    <w:rPr>
      <w:rFonts w:ascii="等线" w:eastAsia="等线"/>
      <w:sz w:val="18"/>
      <w:szCs w:val="18"/>
    </w:rPr>
  </w:style>
  <w:style w:type="paragraph" w:styleId="14">
    <w:name w:val="Document Map"/>
    <w:basedOn w:val="1"/>
    <w:link w:val="94"/>
    <w:autoRedefine/>
    <w:qFormat/>
    <w:uiPriority w:val="0"/>
    <w:pPr>
      <w:shd w:val="clear" w:color="auto" w:fill="000080"/>
    </w:pPr>
    <w:rPr>
      <w:sz w:val="21"/>
      <w:szCs w:val="21"/>
    </w:rPr>
  </w:style>
  <w:style w:type="paragraph" w:styleId="15">
    <w:name w:val="annotation text"/>
    <w:basedOn w:val="1"/>
    <w:link w:val="88"/>
    <w:autoRedefine/>
    <w:qFormat/>
    <w:uiPriority w:val="0"/>
    <w:pPr>
      <w:jc w:val="left"/>
    </w:pPr>
    <w:rPr>
      <w:sz w:val="21"/>
      <w:szCs w:val="21"/>
    </w:rPr>
  </w:style>
  <w:style w:type="paragraph" w:styleId="16">
    <w:name w:val="Salutation"/>
    <w:basedOn w:val="1"/>
    <w:next w:val="1"/>
    <w:link w:val="95"/>
    <w:autoRedefine/>
    <w:qFormat/>
    <w:uiPriority w:val="0"/>
    <w:rPr>
      <w:sz w:val="21"/>
      <w:szCs w:val="20"/>
    </w:rPr>
  </w:style>
  <w:style w:type="paragraph" w:styleId="17">
    <w:name w:val="Body Text 3"/>
    <w:basedOn w:val="1"/>
    <w:link w:val="96"/>
    <w:autoRedefine/>
    <w:qFormat/>
    <w:uiPriority w:val="0"/>
    <w:rPr>
      <w:rFonts w:ascii="仿宋_GB2312" w:hAnsi="Arial" w:eastAsia="仿宋_GB2312"/>
      <w:sz w:val="32"/>
      <w:szCs w:val="32"/>
    </w:rPr>
  </w:style>
  <w:style w:type="paragraph" w:styleId="18">
    <w:name w:val="Body Text"/>
    <w:basedOn w:val="1"/>
    <w:next w:val="1"/>
    <w:link w:val="85"/>
    <w:autoRedefine/>
    <w:qFormat/>
    <w:uiPriority w:val="0"/>
    <w:rPr>
      <w:rFonts w:ascii="楷体_GB2312" w:hAnsi="Arial" w:eastAsia="楷体_GB2312"/>
      <w:sz w:val="28"/>
      <w:szCs w:val="28"/>
    </w:rPr>
  </w:style>
  <w:style w:type="paragraph" w:styleId="19">
    <w:name w:val="Body Text Indent"/>
    <w:basedOn w:val="1"/>
    <w:next w:val="20"/>
    <w:link w:val="68"/>
    <w:autoRedefine/>
    <w:qFormat/>
    <w:uiPriority w:val="0"/>
    <w:pPr>
      <w:ind w:firstLine="645"/>
    </w:pPr>
    <w:rPr>
      <w:rFonts w:ascii="楷体_GB2312" w:eastAsia="楷体_GB2312"/>
      <w:sz w:val="32"/>
      <w:szCs w:val="32"/>
    </w:rPr>
  </w:style>
  <w:style w:type="paragraph" w:styleId="20">
    <w:name w:val="envelope return"/>
    <w:basedOn w:val="1"/>
    <w:autoRedefine/>
    <w:qFormat/>
    <w:uiPriority w:val="0"/>
    <w:pPr>
      <w:snapToGrid w:val="0"/>
    </w:pPr>
    <w:rPr>
      <w:rFonts w:ascii="Arial" w:hAnsi="Arial"/>
    </w:rPr>
  </w:style>
  <w:style w:type="paragraph" w:styleId="21">
    <w:name w:val="List 2"/>
    <w:basedOn w:val="1"/>
    <w:autoRedefine/>
    <w:qFormat/>
    <w:uiPriority w:val="0"/>
    <w:pPr>
      <w:ind w:left="100" w:leftChars="200" w:hanging="200" w:hangingChars="200"/>
    </w:pPr>
  </w:style>
  <w:style w:type="paragraph" w:styleId="22">
    <w:name w:val="Block Text"/>
    <w:basedOn w:val="1"/>
    <w:autoRedefine/>
    <w:qFormat/>
    <w:uiPriority w:val="0"/>
    <w:pPr>
      <w:ind w:left="-216" w:leftChars="-104" w:right="2" w:rightChars="1" w:hanging="2"/>
      <w:jc w:val="center"/>
    </w:pPr>
    <w:rPr>
      <w:rFonts w:ascii="楷体_GB2312" w:eastAsia="楷体_GB2312"/>
    </w:rPr>
  </w:style>
  <w:style w:type="paragraph" w:styleId="23">
    <w:name w:val="toc 5"/>
    <w:basedOn w:val="1"/>
    <w:next w:val="1"/>
    <w:autoRedefine/>
    <w:qFormat/>
    <w:uiPriority w:val="0"/>
    <w:pPr>
      <w:ind w:left="960"/>
      <w:jc w:val="left"/>
    </w:pPr>
    <w:rPr>
      <w:rFonts w:ascii="等线" w:eastAsia="等线"/>
      <w:sz w:val="18"/>
      <w:szCs w:val="18"/>
    </w:rPr>
  </w:style>
  <w:style w:type="paragraph" w:styleId="24">
    <w:name w:val="toc 3"/>
    <w:basedOn w:val="1"/>
    <w:next w:val="1"/>
    <w:autoRedefine/>
    <w:qFormat/>
    <w:uiPriority w:val="0"/>
    <w:pPr>
      <w:ind w:left="480"/>
      <w:jc w:val="left"/>
    </w:pPr>
    <w:rPr>
      <w:rFonts w:ascii="等线" w:eastAsia="等线"/>
      <w:i/>
      <w:iCs/>
      <w:sz w:val="20"/>
      <w:szCs w:val="20"/>
    </w:rPr>
  </w:style>
  <w:style w:type="paragraph" w:styleId="25">
    <w:name w:val="Plain Text"/>
    <w:basedOn w:val="1"/>
    <w:next w:val="5"/>
    <w:link w:val="97"/>
    <w:autoRedefine/>
    <w:qFormat/>
    <w:uiPriority w:val="0"/>
    <w:rPr>
      <w:rFonts w:ascii="宋体" w:hAnsi="Courier New" w:cs="Courier New"/>
      <w:sz w:val="21"/>
      <w:szCs w:val="21"/>
    </w:rPr>
  </w:style>
  <w:style w:type="paragraph" w:styleId="26">
    <w:name w:val="toc 8"/>
    <w:basedOn w:val="1"/>
    <w:next w:val="1"/>
    <w:autoRedefine/>
    <w:qFormat/>
    <w:uiPriority w:val="0"/>
    <w:pPr>
      <w:ind w:left="1680"/>
      <w:jc w:val="left"/>
    </w:pPr>
    <w:rPr>
      <w:rFonts w:ascii="等线" w:eastAsia="等线"/>
      <w:sz w:val="18"/>
      <w:szCs w:val="18"/>
    </w:rPr>
  </w:style>
  <w:style w:type="paragraph" w:styleId="27">
    <w:name w:val="Date"/>
    <w:basedOn w:val="1"/>
    <w:next w:val="1"/>
    <w:link w:val="98"/>
    <w:autoRedefine/>
    <w:qFormat/>
    <w:uiPriority w:val="0"/>
  </w:style>
  <w:style w:type="paragraph" w:styleId="28">
    <w:name w:val="Body Text Indent 2"/>
    <w:basedOn w:val="1"/>
    <w:link w:val="99"/>
    <w:autoRedefine/>
    <w:qFormat/>
    <w:uiPriority w:val="0"/>
    <w:pPr>
      <w:ind w:left="630" w:firstLine="645"/>
    </w:pPr>
    <w:rPr>
      <w:rFonts w:ascii="Arial" w:hAnsi="Arial" w:eastAsia="仿宋_GB2312" w:cs="Arial"/>
      <w:sz w:val="32"/>
      <w:szCs w:val="32"/>
    </w:rPr>
  </w:style>
  <w:style w:type="paragraph" w:styleId="29">
    <w:name w:val="Balloon Text"/>
    <w:basedOn w:val="1"/>
    <w:autoRedefine/>
    <w:qFormat/>
    <w:uiPriority w:val="0"/>
    <w:rPr>
      <w:sz w:val="18"/>
      <w:szCs w:val="18"/>
    </w:rPr>
  </w:style>
  <w:style w:type="paragraph" w:styleId="30">
    <w:name w:val="footer"/>
    <w:basedOn w:val="1"/>
    <w:link w:val="71"/>
    <w:autoRedefine/>
    <w:qFormat/>
    <w:uiPriority w:val="0"/>
    <w:pPr>
      <w:tabs>
        <w:tab w:val="center" w:pos="4153"/>
        <w:tab w:val="right" w:pos="8306"/>
      </w:tabs>
      <w:snapToGrid w:val="0"/>
      <w:jc w:val="left"/>
    </w:pPr>
    <w:rPr>
      <w:sz w:val="18"/>
      <w:szCs w:val="18"/>
    </w:rPr>
  </w:style>
  <w:style w:type="paragraph" w:styleId="31">
    <w:name w:val="header"/>
    <w:basedOn w:val="1"/>
    <w:link w:val="7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rFonts w:ascii="等线" w:eastAsia="等线"/>
      <w:b/>
      <w:bCs/>
      <w:caps/>
      <w:sz w:val="20"/>
      <w:szCs w:val="20"/>
    </w:rPr>
  </w:style>
  <w:style w:type="paragraph" w:styleId="33">
    <w:name w:val="toc 4"/>
    <w:basedOn w:val="1"/>
    <w:next w:val="1"/>
    <w:autoRedefine/>
    <w:qFormat/>
    <w:uiPriority w:val="0"/>
    <w:pPr>
      <w:ind w:left="720"/>
      <w:jc w:val="left"/>
    </w:pPr>
    <w:rPr>
      <w:rFonts w:ascii="等线" w:eastAsia="等线"/>
      <w:sz w:val="18"/>
      <w:szCs w:val="18"/>
    </w:rPr>
  </w:style>
  <w:style w:type="paragraph" w:styleId="34">
    <w:name w:val="Subtitle"/>
    <w:basedOn w:val="1"/>
    <w:next w:val="1"/>
    <w:link w:val="100"/>
    <w:autoRedefine/>
    <w:qFormat/>
    <w:uiPriority w:val="0"/>
    <w:pPr>
      <w:spacing w:before="240" w:after="60" w:line="312" w:lineRule="auto"/>
      <w:ind w:firstLine="200"/>
      <w:jc w:val="center"/>
      <w:outlineLvl w:val="1"/>
    </w:pPr>
    <w:rPr>
      <w:rFonts w:ascii="Cambria" w:hAnsi="Cambria"/>
      <w:b/>
      <w:bCs/>
      <w:kern w:val="28"/>
      <w:sz w:val="32"/>
      <w:szCs w:val="32"/>
    </w:rPr>
  </w:style>
  <w:style w:type="paragraph" w:styleId="35">
    <w:name w:val="List"/>
    <w:basedOn w:val="1"/>
    <w:autoRedefine/>
    <w:qFormat/>
    <w:uiPriority w:val="0"/>
    <w:pPr>
      <w:ind w:left="200" w:hanging="200" w:hangingChars="200"/>
    </w:pPr>
  </w:style>
  <w:style w:type="paragraph" w:styleId="36">
    <w:name w:val="footnote text"/>
    <w:basedOn w:val="1"/>
    <w:link w:val="101"/>
    <w:autoRedefine/>
    <w:qFormat/>
    <w:uiPriority w:val="0"/>
    <w:pPr>
      <w:autoSpaceDE w:val="0"/>
      <w:autoSpaceDN w:val="0"/>
      <w:adjustRightInd w:val="0"/>
      <w:spacing w:line="240" w:lineRule="atLeast"/>
      <w:jc w:val="left"/>
    </w:pPr>
    <w:rPr>
      <w:kern w:val="0"/>
      <w:sz w:val="18"/>
      <w:szCs w:val="18"/>
    </w:rPr>
  </w:style>
  <w:style w:type="paragraph" w:styleId="37">
    <w:name w:val="toc 6"/>
    <w:basedOn w:val="1"/>
    <w:next w:val="1"/>
    <w:autoRedefine/>
    <w:qFormat/>
    <w:uiPriority w:val="0"/>
    <w:pPr>
      <w:ind w:left="1200"/>
      <w:jc w:val="left"/>
    </w:pPr>
    <w:rPr>
      <w:rFonts w:ascii="等线" w:eastAsia="等线"/>
      <w:sz w:val="18"/>
      <w:szCs w:val="18"/>
    </w:rPr>
  </w:style>
  <w:style w:type="paragraph" w:styleId="38">
    <w:name w:val="Body Text Indent 3"/>
    <w:basedOn w:val="1"/>
    <w:link w:val="102"/>
    <w:autoRedefine/>
    <w:qFormat/>
    <w:uiPriority w:val="0"/>
    <w:pPr>
      <w:ind w:left="645" w:firstLine="645"/>
    </w:pPr>
    <w:rPr>
      <w:rFonts w:ascii="Arial" w:hAnsi="Arial" w:eastAsia="仿宋_GB2312" w:cs="Arial"/>
      <w:color w:val="FFFF00"/>
      <w:sz w:val="32"/>
      <w:szCs w:val="32"/>
    </w:rPr>
  </w:style>
  <w:style w:type="paragraph" w:styleId="39">
    <w:name w:val="table of figures"/>
    <w:basedOn w:val="1"/>
    <w:next w:val="1"/>
    <w:autoRedefine/>
    <w:qFormat/>
    <w:uiPriority w:val="0"/>
    <w:pPr>
      <w:ind w:left="840" w:hanging="420"/>
    </w:pPr>
  </w:style>
  <w:style w:type="paragraph" w:styleId="40">
    <w:name w:val="toc 2"/>
    <w:basedOn w:val="1"/>
    <w:next w:val="1"/>
    <w:autoRedefine/>
    <w:qFormat/>
    <w:uiPriority w:val="0"/>
    <w:pPr>
      <w:ind w:left="240"/>
      <w:jc w:val="left"/>
    </w:pPr>
    <w:rPr>
      <w:rFonts w:ascii="等线" w:eastAsia="等线"/>
      <w:smallCaps/>
      <w:sz w:val="20"/>
      <w:szCs w:val="20"/>
    </w:rPr>
  </w:style>
  <w:style w:type="paragraph" w:styleId="41">
    <w:name w:val="toc 9"/>
    <w:basedOn w:val="1"/>
    <w:next w:val="1"/>
    <w:autoRedefine/>
    <w:qFormat/>
    <w:uiPriority w:val="0"/>
    <w:pPr>
      <w:ind w:left="1920"/>
      <w:jc w:val="left"/>
    </w:pPr>
    <w:rPr>
      <w:rFonts w:ascii="等线" w:eastAsia="等线"/>
      <w:sz w:val="18"/>
      <w:szCs w:val="18"/>
    </w:rPr>
  </w:style>
  <w:style w:type="paragraph" w:styleId="42">
    <w:name w:val="Body Text 2"/>
    <w:basedOn w:val="1"/>
    <w:link w:val="103"/>
    <w:autoRedefine/>
    <w:qFormat/>
    <w:uiPriority w:val="0"/>
    <w:pPr>
      <w:widowControl/>
      <w:jc w:val="center"/>
    </w:pPr>
    <w:rPr>
      <w:rFonts w:ascii="楷体_GB2312" w:eastAsia="楷体_GB2312"/>
      <w:sz w:val="28"/>
      <w:szCs w:val="28"/>
    </w:rPr>
  </w:style>
  <w:style w:type="paragraph" w:styleId="43">
    <w:name w:val="HTML Preformatted"/>
    <w:basedOn w:val="1"/>
    <w:link w:val="10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tLeast"/>
      <w:jc w:val="left"/>
    </w:pPr>
    <w:rPr>
      <w:rFonts w:ascii="Arial" w:hAnsi="Arial" w:cs="Arial"/>
      <w:kern w:val="0"/>
      <w:sz w:val="28"/>
      <w:szCs w:val="28"/>
    </w:rPr>
  </w:style>
  <w:style w:type="paragraph" w:styleId="44">
    <w:name w:val="Normal (Web)"/>
    <w:basedOn w:val="1"/>
    <w:autoRedefine/>
    <w:qFormat/>
    <w:uiPriority w:val="0"/>
    <w:pPr>
      <w:widowControl/>
      <w:spacing w:before="100" w:beforeAutospacing="1" w:after="100" w:afterAutospacing="1"/>
      <w:jc w:val="left"/>
    </w:pPr>
    <w:rPr>
      <w:rFonts w:ascii="宋体" w:hAnsi="宋体" w:cs="宋体"/>
      <w:kern w:val="0"/>
    </w:rPr>
  </w:style>
  <w:style w:type="paragraph" w:styleId="45">
    <w:name w:val="index 1"/>
    <w:basedOn w:val="1"/>
    <w:next w:val="1"/>
    <w:autoRedefine/>
    <w:qFormat/>
    <w:uiPriority w:val="0"/>
    <w:pPr>
      <w:spacing w:line="240" w:lineRule="atLeast"/>
    </w:pPr>
    <w:rPr>
      <w:b/>
      <w:bCs/>
    </w:rPr>
  </w:style>
  <w:style w:type="paragraph" w:styleId="46">
    <w:name w:val="Title"/>
    <w:basedOn w:val="1"/>
    <w:next w:val="1"/>
    <w:link w:val="105"/>
    <w:autoRedefine/>
    <w:qFormat/>
    <w:uiPriority w:val="0"/>
    <w:pPr>
      <w:spacing w:before="240" w:after="60"/>
      <w:jc w:val="center"/>
      <w:outlineLvl w:val="0"/>
    </w:pPr>
    <w:rPr>
      <w:rFonts w:ascii="Cambria" w:hAnsi="Cambria"/>
      <w:b/>
      <w:bCs/>
      <w:sz w:val="32"/>
      <w:szCs w:val="32"/>
    </w:rPr>
  </w:style>
  <w:style w:type="paragraph" w:styleId="47">
    <w:name w:val="annotation subject"/>
    <w:basedOn w:val="15"/>
    <w:next w:val="15"/>
    <w:link w:val="106"/>
    <w:autoRedefine/>
    <w:qFormat/>
    <w:uiPriority w:val="0"/>
    <w:rPr>
      <w:b/>
      <w:bCs/>
    </w:rPr>
  </w:style>
  <w:style w:type="paragraph" w:styleId="48">
    <w:name w:val="Body Text First Indent"/>
    <w:basedOn w:val="18"/>
    <w:link w:val="107"/>
    <w:autoRedefine/>
    <w:qFormat/>
    <w:uiPriority w:val="0"/>
    <w:pPr>
      <w:ind w:firstLine="200"/>
    </w:pPr>
    <w:rPr>
      <w:rFonts w:ascii="仿宋_GB2312" w:hAnsi="Times New Roman" w:eastAsia="仿宋_GB2312"/>
      <w:sz w:val="30"/>
      <w:szCs w:val="30"/>
    </w:rPr>
  </w:style>
  <w:style w:type="paragraph" w:styleId="49">
    <w:name w:val="Body Text First Indent 2"/>
    <w:basedOn w:val="19"/>
    <w:link w:val="69"/>
    <w:autoRedefine/>
    <w:qFormat/>
    <w:uiPriority w:val="0"/>
    <w:pPr>
      <w:ind w:firstLine="420"/>
    </w:pPr>
    <w:rPr>
      <w:rFonts w:ascii="宋体" w:hAnsi="宋体" w:eastAsia="宋体"/>
      <w:sz w:val="21"/>
      <w:szCs w:val="20"/>
    </w:rPr>
  </w:style>
  <w:style w:type="table" w:styleId="51">
    <w:name w:val="Table Grid"/>
    <w:basedOn w:val="50"/>
    <w:autoRedefine/>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autoRedefine/>
    <w:qFormat/>
    <w:uiPriority w:val="0"/>
    <w:rPr>
      <w:rFonts w:ascii="Times New Roman" w:hAnsi="Times New Roman" w:eastAsia="宋体" w:cs="Times New Roman"/>
      <w:b/>
      <w:bCs/>
    </w:rPr>
  </w:style>
  <w:style w:type="character" w:styleId="54">
    <w:name w:val="page number"/>
    <w:basedOn w:val="52"/>
    <w:autoRedefine/>
    <w:qFormat/>
    <w:uiPriority w:val="0"/>
    <w:rPr>
      <w:rFonts w:ascii="Times New Roman" w:hAnsi="Times New Roman" w:eastAsia="宋体" w:cs="Times New Roman"/>
    </w:rPr>
  </w:style>
  <w:style w:type="character" w:styleId="55">
    <w:name w:val="FollowedHyperlink"/>
    <w:autoRedefine/>
    <w:qFormat/>
    <w:uiPriority w:val="0"/>
    <w:rPr>
      <w:rFonts w:ascii="Times New Roman" w:hAnsi="Times New Roman" w:eastAsia="宋体" w:cs="Times New Roman"/>
      <w:color w:val="800080"/>
      <w:u w:val="single"/>
    </w:rPr>
  </w:style>
  <w:style w:type="character" w:styleId="56">
    <w:name w:val="Emphasis"/>
    <w:autoRedefine/>
    <w:qFormat/>
    <w:uiPriority w:val="0"/>
    <w:rPr>
      <w:rFonts w:ascii="Times New Roman" w:hAnsi="Times New Roman" w:eastAsia="宋体" w:cs="Times New Roman"/>
      <w:color w:val="FF5500"/>
      <w:u w:val="none"/>
    </w:rPr>
  </w:style>
  <w:style w:type="character" w:styleId="57">
    <w:name w:val="HTML Definition"/>
    <w:autoRedefine/>
    <w:qFormat/>
    <w:uiPriority w:val="0"/>
    <w:rPr>
      <w:rFonts w:ascii="Times New Roman" w:hAnsi="Times New Roman" w:eastAsia="宋体" w:cs="Times New Roman"/>
    </w:rPr>
  </w:style>
  <w:style w:type="character" w:styleId="58">
    <w:name w:val="HTML Typewriter"/>
    <w:autoRedefine/>
    <w:qFormat/>
    <w:uiPriority w:val="0"/>
    <w:rPr>
      <w:rFonts w:ascii="宋体" w:hAnsi="宋体" w:eastAsia="宋体" w:cs="宋体"/>
      <w:sz w:val="24"/>
      <w:szCs w:val="24"/>
    </w:rPr>
  </w:style>
  <w:style w:type="character" w:styleId="59">
    <w:name w:val="HTML Acronym"/>
    <w:autoRedefine/>
    <w:qFormat/>
    <w:uiPriority w:val="0"/>
    <w:rPr>
      <w:rFonts w:ascii="Times New Roman" w:hAnsi="Times New Roman" w:eastAsia="宋体" w:cs="Times New Roman"/>
    </w:rPr>
  </w:style>
  <w:style w:type="character" w:styleId="60">
    <w:name w:val="HTML Variable"/>
    <w:autoRedefine/>
    <w:qFormat/>
    <w:uiPriority w:val="0"/>
    <w:rPr>
      <w:rFonts w:ascii="Times New Roman" w:hAnsi="Times New Roman" w:eastAsia="宋体" w:cs="Times New Roman"/>
    </w:rPr>
  </w:style>
  <w:style w:type="character" w:styleId="61">
    <w:name w:val="Hyperlink"/>
    <w:autoRedefine/>
    <w:qFormat/>
    <w:uiPriority w:val="0"/>
    <w:rPr>
      <w:rFonts w:ascii="Times New Roman" w:hAnsi="Times New Roman" w:eastAsia="宋体" w:cs="Times New Roman"/>
      <w:color w:val="0000FF"/>
      <w:u w:val="single"/>
    </w:rPr>
  </w:style>
  <w:style w:type="character" w:styleId="62">
    <w:name w:val="HTML Code"/>
    <w:autoRedefine/>
    <w:qFormat/>
    <w:uiPriority w:val="0"/>
    <w:rPr>
      <w:rFonts w:hint="default" w:ascii="Courier New" w:hAnsi="Courier New" w:eastAsia="Courier New" w:cs="Courier New"/>
      <w:sz w:val="20"/>
    </w:rPr>
  </w:style>
  <w:style w:type="character" w:styleId="63">
    <w:name w:val="annotation reference"/>
    <w:basedOn w:val="52"/>
    <w:autoRedefine/>
    <w:qFormat/>
    <w:uiPriority w:val="0"/>
    <w:rPr>
      <w:rFonts w:ascii="Times New Roman" w:hAnsi="Times New Roman" w:eastAsia="宋体" w:cs="Times New Roman"/>
      <w:sz w:val="21"/>
      <w:szCs w:val="21"/>
    </w:rPr>
  </w:style>
  <w:style w:type="character" w:styleId="64">
    <w:name w:val="HTML Cite"/>
    <w:autoRedefine/>
    <w:qFormat/>
    <w:uiPriority w:val="0"/>
    <w:rPr>
      <w:rFonts w:ascii="Times New Roman" w:hAnsi="Times New Roman" w:eastAsia="宋体" w:cs="Times New Roman"/>
    </w:rPr>
  </w:style>
  <w:style w:type="character" w:styleId="65">
    <w:name w:val="HTML Keyboard"/>
    <w:autoRedefine/>
    <w:qFormat/>
    <w:uiPriority w:val="0"/>
    <w:rPr>
      <w:rFonts w:hint="default" w:ascii="Courier New" w:hAnsi="Courier New" w:eastAsia="Courier New" w:cs="Courier New"/>
      <w:sz w:val="20"/>
    </w:rPr>
  </w:style>
  <w:style w:type="character" w:styleId="66">
    <w:name w:val="HTML Sample"/>
    <w:autoRedefine/>
    <w:qFormat/>
    <w:uiPriority w:val="0"/>
    <w:rPr>
      <w:rFonts w:ascii="Courier New" w:hAnsi="Courier New" w:eastAsia="Courier New" w:cs="Courier New"/>
    </w:rPr>
  </w:style>
  <w:style w:type="paragraph" w:customStyle="1" w:styleId="67">
    <w:name w:val="Default"/>
    <w:autoRedefine/>
    <w:qFormat/>
    <w:uiPriority w:val="0"/>
    <w:pPr>
      <w:widowControl w:val="0"/>
      <w:autoSpaceDE w:val="0"/>
      <w:autoSpaceDN w:val="0"/>
      <w:adjustRightInd w:val="0"/>
    </w:pPr>
    <w:rPr>
      <w:rFonts w:ascii="Arial,Bold" w:hAnsi="Arial,Bold" w:eastAsia="PMingLiU" w:cs="Times New Roman"/>
      <w:lang w:val="en-US" w:eastAsia="en-US" w:bidi="ar-SA"/>
    </w:rPr>
  </w:style>
  <w:style w:type="character" w:customStyle="1" w:styleId="68">
    <w:name w:val="正文文本缩进 字符"/>
    <w:link w:val="19"/>
    <w:autoRedefine/>
    <w:qFormat/>
    <w:uiPriority w:val="0"/>
    <w:rPr>
      <w:rFonts w:ascii="楷体_GB2312" w:hAnsi="Times New Roman" w:eastAsia="楷体_GB2312" w:cs="Times New Roman"/>
      <w:kern w:val="2"/>
      <w:sz w:val="32"/>
      <w:szCs w:val="32"/>
      <w:lang w:val="en-US" w:eastAsia="zh-CN" w:bidi="ar-SA"/>
    </w:rPr>
  </w:style>
  <w:style w:type="character" w:customStyle="1" w:styleId="69">
    <w:name w:val="正文文本首行缩进 2 字符"/>
    <w:link w:val="49"/>
    <w:autoRedefine/>
    <w:qFormat/>
    <w:uiPriority w:val="0"/>
    <w:rPr>
      <w:rFonts w:ascii="宋体" w:hAnsi="宋体" w:eastAsia="宋体" w:cs="Times New Roman"/>
      <w:kern w:val="2"/>
      <w:sz w:val="21"/>
      <w:lang w:val="en-US" w:eastAsia="zh-CN" w:bidi="ar-SA"/>
    </w:rPr>
  </w:style>
  <w:style w:type="character" w:customStyle="1" w:styleId="70">
    <w:name w:val="页眉 字符"/>
    <w:link w:val="31"/>
    <w:autoRedefine/>
    <w:qFormat/>
    <w:uiPriority w:val="0"/>
    <w:rPr>
      <w:rFonts w:ascii="Times New Roman" w:hAnsi="Times New Roman" w:eastAsia="宋体" w:cs="Times New Roman"/>
      <w:kern w:val="2"/>
      <w:sz w:val="18"/>
      <w:szCs w:val="18"/>
      <w:lang w:val="en-US" w:eastAsia="zh-CN" w:bidi="ar-SA"/>
    </w:rPr>
  </w:style>
  <w:style w:type="character" w:customStyle="1" w:styleId="71">
    <w:name w:val="页脚 字符"/>
    <w:link w:val="30"/>
    <w:autoRedefine/>
    <w:qFormat/>
    <w:uiPriority w:val="0"/>
    <w:rPr>
      <w:rFonts w:ascii="Times New Roman" w:hAnsi="Times New Roman" w:eastAsia="宋体" w:cs="Times New Roman"/>
      <w:kern w:val="2"/>
      <w:sz w:val="18"/>
      <w:szCs w:val="18"/>
      <w:lang w:val="en-US" w:eastAsia="zh-CN" w:bidi="ar-SA"/>
    </w:rPr>
  </w:style>
  <w:style w:type="character" w:customStyle="1" w:styleId="72">
    <w:name w:val="普通正文 Char Char"/>
    <w:link w:val="73"/>
    <w:autoRedefine/>
    <w:qFormat/>
    <w:uiPriority w:val="0"/>
    <w:rPr>
      <w:rFonts w:ascii="Arial" w:hAnsi="Arial" w:eastAsia="宋体" w:cs="Times New Roman"/>
      <w:sz w:val="24"/>
      <w:szCs w:val="24"/>
      <w:lang w:val="en-US" w:eastAsia="zh-CN" w:bidi="ar-SA"/>
    </w:rPr>
  </w:style>
  <w:style w:type="paragraph" w:customStyle="1" w:styleId="73">
    <w:name w:val="普通正文"/>
    <w:basedOn w:val="1"/>
    <w:link w:val="72"/>
    <w:autoRedefine/>
    <w:qFormat/>
    <w:uiPriority w:val="0"/>
    <w:pPr>
      <w:adjustRightInd w:val="0"/>
      <w:spacing w:before="120" w:after="120"/>
      <w:jc w:val="left"/>
      <w:textAlignment w:val="baseline"/>
    </w:pPr>
    <w:rPr>
      <w:rFonts w:ascii="Arial" w:hAnsi="Arial"/>
      <w:kern w:val="0"/>
    </w:rPr>
  </w:style>
  <w:style w:type="character" w:customStyle="1" w:styleId="74">
    <w:name w:val="标题 1 字符"/>
    <w:link w:val="2"/>
    <w:autoRedefine/>
    <w:qFormat/>
    <w:uiPriority w:val="0"/>
    <w:rPr>
      <w:rFonts w:ascii="Times New Roman" w:hAnsi="Times New Roman" w:eastAsia="宋体" w:cs="Times New Roman"/>
      <w:b/>
      <w:bCs/>
      <w:kern w:val="2"/>
      <w:sz w:val="36"/>
      <w:szCs w:val="36"/>
    </w:rPr>
  </w:style>
  <w:style w:type="paragraph" w:customStyle="1" w:styleId="75">
    <w:name w:val="BodyTextIndent"/>
    <w:basedOn w:val="1"/>
    <w:autoRedefine/>
    <w:qFormat/>
    <w:uiPriority w:val="0"/>
    <w:pPr>
      <w:spacing w:after="120"/>
      <w:ind w:left="420" w:leftChars="200"/>
    </w:pPr>
  </w:style>
  <w:style w:type="paragraph" w:customStyle="1" w:styleId="76">
    <w:name w:val="BodyText1I2"/>
    <w:basedOn w:val="75"/>
    <w:autoRedefine/>
    <w:qFormat/>
    <w:uiPriority w:val="0"/>
    <w:pPr>
      <w:ind w:firstLine="200"/>
    </w:pPr>
  </w:style>
  <w:style w:type="character" w:customStyle="1" w:styleId="77">
    <w:name w:val="标题 2 字符"/>
    <w:link w:val="3"/>
    <w:autoRedefine/>
    <w:qFormat/>
    <w:uiPriority w:val="0"/>
    <w:rPr>
      <w:rFonts w:ascii="Times New Roman" w:hAnsi="Times New Roman" w:eastAsia="宋体" w:cs="Times New Roman"/>
      <w:b/>
      <w:bCs/>
      <w:kern w:val="2"/>
      <w:sz w:val="32"/>
      <w:szCs w:val="32"/>
    </w:rPr>
  </w:style>
  <w:style w:type="character" w:customStyle="1" w:styleId="78">
    <w:name w:val="标题 3 字符"/>
    <w:link w:val="4"/>
    <w:autoRedefine/>
    <w:qFormat/>
    <w:uiPriority w:val="0"/>
    <w:rPr>
      <w:rFonts w:ascii="Times New Roman" w:hAnsi="Times New Roman" w:eastAsia="宋体" w:cs="Times New Roman"/>
      <w:b/>
      <w:bCs/>
      <w:kern w:val="2"/>
      <w:sz w:val="28"/>
      <w:szCs w:val="28"/>
    </w:rPr>
  </w:style>
  <w:style w:type="character" w:customStyle="1" w:styleId="79">
    <w:name w:val="正文缩进 字符"/>
    <w:link w:val="7"/>
    <w:autoRedefine/>
    <w:qFormat/>
    <w:uiPriority w:val="0"/>
    <w:rPr>
      <w:rFonts w:ascii="Times New Roman" w:hAnsi="Times New Roman" w:eastAsia="宋体" w:cs="Times New Roman"/>
      <w:kern w:val="2"/>
      <w:sz w:val="21"/>
      <w:szCs w:val="21"/>
      <w:lang w:val="en-US" w:eastAsia="zh-CN" w:bidi="ar-SA"/>
    </w:rPr>
  </w:style>
  <w:style w:type="character" w:customStyle="1" w:styleId="80">
    <w:name w:val="标题 4 字符"/>
    <w:link w:val="5"/>
    <w:autoRedefine/>
    <w:qFormat/>
    <w:uiPriority w:val="0"/>
    <w:rPr>
      <w:rFonts w:ascii="Arial" w:hAnsi="Arial" w:eastAsia="黑体" w:cs="Arial"/>
      <w:b/>
      <w:bCs/>
      <w:kern w:val="2"/>
      <w:sz w:val="28"/>
      <w:szCs w:val="28"/>
    </w:rPr>
  </w:style>
  <w:style w:type="character" w:customStyle="1" w:styleId="81">
    <w:name w:val="正文2 Char"/>
    <w:link w:val="82"/>
    <w:autoRedefine/>
    <w:qFormat/>
    <w:uiPriority w:val="0"/>
    <w:rPr>
      <w:rFonts w:ascii="Times New Roman" w:hAnsi="Times New Roman" w:eastAsia="宋体" w:cs="Times New Roman"/>
      <w:kern w:val="2"/>
      <w:sz w:val="21"/>
    </w:rPr>
  </w:style>
  <w:style w:type="paragraph" w:customStyle="1" w:styleId="82">
    <w:name w:val="正文2"/>
    <w:basedOn w:val="1"/>
    <w:link w:val="81"/>
    <w:autoRedefine/>
    <w:qFormat/>
    <w:uiPriority w:val="0"/>
    <w:pPr>
      <w:widowControl/>
      <w:spacing w:after="160"/>
      <w:ind w:firstLine="200"/>
    </w:pPr>
    <w:rPr>
      <w:sz w:val="21"/>
      <w:szCs w:val="20"/>
    </w:rPr>
  </w:style>
  <w:style w:type="paragraph" w:customStyle="1" w:styleId="83">
    <w:name w:val="正文**"/>
    <w:basedOn w:val="1"/>
    <w:autoRedefine/>
    <w:qFormat/>
    <w:uiPriority w:val="0"/>
    <w:rPr>
      <w:rFonts w:ascii="仿宋_GB2312" w:hAnsi="宋体"/>
      <w:kern w:val="0"/>
      <w:szCs w:val="28"/>
    </w:rPr>
  </w:style>
  <w:style w:type="paragraph" w:customStyle="1" w:styleId="84">
    <w:name w:val="一级目录"/>
    <w:next w:val="1"/>
    <w:autoRedefine/>
    <w:qFormat/>
    <w:uiPriority w:val="0"/>
    <w:pPr>
      <w:spacing w:after="312" w:afterLines="100"/>
      <w:jc w:val="center"/>
      <w:outlineLvl w:val="0"/>
    </w:pPr>
    <w:rPr>
      <w:rFonts w:ascii="黑体" w:hAnsi="Times New Roman" w:eastAsia="黑体" w:cs="Times New Roman"/>
      <w:b/>
      <w:kern w:val="2"/>
      <w:sz w:val="44"/>
      <w:szCs w:val="44"/>
      <w:lang w:val="en-US" w:eastAsia="zh-CN" w:bidi="ar-SA"/>
    </w:rPr>
  </w:style>
  <w:style w:type="character" w:customStyle="1" w:styleId="85">
    <w:name w:val="正文文本 字符"/>
    <w:link w:val="18"/>
    <w:autoRedefine/>
    <w:qFormat/>
    <w:uiPriority w:val="0"/>
    <w:rPr>
      <w:rFonts w:ascii="楷体_GB2312" w:hAnsi="Arial" w:eastAsia="楷体_GB2312" w:cs="Times New Roman"/>
      <w:kern w:val="2"/>
      <w:sz w:val="28"/>
      <w:szCs w:val="28"/>
      <w:lang w:val="en-US" w:eastAsia="zh-CN" w:bidi="ar-SA"/>
    </w:rPr>
  </w:style>
  <w:style w:type="paragraph" w:customStyle="1" w:styleId="86">
    <w:name w:val="列出段落1"/>
    <w:basedOn w:val="1"/>
    <w:autoRedefine/>
    <w:qFormat/>
    <w:uiPriority w:val="0"/>
    <w:pPr>
      <w:ind w:firstLine="420"/>
    </w:pPr>
  </w:style>
  <w:style w:type="paragraph" w:customStyle="1" w:styleId="87">
    <w:name w:val="Body text|1"/>
    <w:basedOn w:val="1"/>
    <w:autoRedefine/>
    <w:qFormat/>
    <w:uiPriority w:val="0"/>
    <w:pPr>
      <w:spacing w:after="150" w:line="454" w:lineRule="auto"/>
      <w:ind w:firstLine="400"/>
    </w:pPr>
    <w:rPr>
      <w:rFonts w:ascii="宋体" w:hAnsi="宋体" w:cs="宋体"/>
      <w:sz w:val="22"/>
      <w:szCs w:val="22"/>
      <w:lang w:val="zh-TW" w:eastAsia="zh-TW" w:bidi="zh-TW"/>
    </w:rPr>
  </w:style>
  <w:style w:type="character" w:customStyle="1" w:styleId="88">
    <w:name w:val="批注文字 字符"/>
    <w:link w:val="15"/>
    <w:autoRedefine/>
    <w:qFormat/>
    <w:uiPriority w:val="0"/>
    <w:rPr>
      <w:rFonts w:ascii="Times New Roman" w:hAnsi="Times New Roman" w:eastAsia="宋体" w:cs="Times New Roman"/>
      <w:kern w:val="2"/>
      <w:sz w:val="21"/>
      <w:szCs w:val="21"/>
      <w:lang w:val="en-US" w:eastAsia="zh-CN" w:bidi="ar-SA"/>
    </w:rPr>
  </w:style>
  <w:style w:type="character" w:customStyle="1" w:styleId="89">
    <w:name w:val="标题 5 字符"/>
    <w:link w:val="6"/>
    <w:autoRedefine/>
    <w:qFormat/>
    <w:uiPriority w:val="0"/>
    <w:rPr>
      <w:rFonts w:ascii="宋体" w:hAnsi="Times New Roman" w:eastAsia="宋体" w:cs="Times New Roman"/>
      <w:color w:val="000000"/>
      <w:sz w:val="28"/>
      <w:szCs w:val="28"/>
      <w:lang w:val="en-US" w:eastAsia="zh-CN" w:bidi="ar-SA"/>
    </w:rPr>
  </w:style>
  <w:style w:type="character" w:customStyle="1" w:styleId="90">
    <w:name w:val="标题 6 字符"/>
    <w:link w:val="8"/>
    <w:autoRedefine/>
    <w:qFormat/>
    <w:uiPriority w:val="0"/>
    <w:rPr>
      <w:rFonts w:ascii="Arial" w:hAnsi="Arial" w:eastAsia="黑体" w:cs="Times New Roman"/>
      <w:b/>
      <w:bCs/>
      <w:kern w:val="2"/>
      <w:sz w:val="24"/>
      <w:szCs w:val="24"/>
      <w:lang w:val="en-US" w:eastAsia="zh-CN" w:bidi="ar-SA"/>
    </w:rPr>
  </w:style>
  <w:style w:type="character" w:customStyle="1" w:styleId="91">
    <w:name w:val="标题 7 字符"/>
    <w:link w:val="9"/>
    <w:autoRedefine/>
    <w:qFormat/>
    <w:uiPriority w:val="0"/>
    <w:rPr>
      <w:rFonts w:ascii="Times New Roman" w:hAnsi="Times New Roman" w:eastAsia="宋体" w:cs="Times New Roman"/>
      <w:b/>
      <w:bCs/>
      <w:kern w:val="2"/>
      <w:sz w:val="24"/>
      <w:szCs w:val="24"/>
      <w:lang w:val="en-US" w:eastAsia="zh-CN" w:bidi="ar-SA"/>
    </w:rPr>
  </w:style>
  <w:style w:type="character" w:customStyle="1" w:styleId="92">
    <w:name w:val="标题 8 字符"/>
    <w:link w:val="10"/>
    <w:autoRedefine/>
    <w:qFormat/>
    <w:uiPriority w:val="0"/>
    <w:rPr>
      <w:rFonts w:ascii="Arial" w:hAnsi="Arial" w:eastAsia="黑体" w:cs="Times New Roman"/>
      <w:kern w:val="2"/>
      <w:sz w:val="24"/>
      <w:szCs w:val="24"/>
      <w:lang w:val="en-US" w:eastAsia="zh-CN" w:bidi="ar-SA"/>
    </w:rPr>
  </w:style>
  <w:style w:type="character" w:customStyle="1" w:styleId="93">
    <w:name w:val="标题 9 字符"/>
    <w:link w:val="11"/>
    <w:autoRedefine/>
    <w:qFormat/>
    <w:uiPriority w:val="0"/>
    <w:rPr>
      <w:rFonts w:ascii="Arial" w:hAnsi="Arial" w:eastAsia="黑体" w:cs="Times New Roman"/>
      <w:kern w:val="2"/>
      <w:sz w:val="21"/>
      <w:szCs w:val="21"/>
      <w:lang w:val="en-US" w:eastAsia="zh-CN" w:bidi="ar-SA"/>
    </w:rPr>
  </w:style>
  <w:style w:type="character" w:customStyle="1" w:styleId="94">
    <w:name w:val="文档结构图 字符"/>
    <w:link w:val="14"/>
    <w:autoRedefine/>
    <w:qFormat/>
    <w:uiPriority w:val="0"/>
    <w:rPr>
      <w:rFonts w:ascii="Times New Roman" w:hAnsi="Times New Roman" w:eastAsia="宋体" w:cs="Times New Roman"/>
      <w:kern w:val="2"/>
      <w:sz w:val="21"/>
      <w:szCs w:val="21"/>
      <w:lang w:val="en-US" w:eastAsia="zh-CN" w:bidi="ar-SA"/>
    </w:rPr>
  </w:style>
  <w:style w:type="character" w:customStyle="1" w:styleId="95">
    <w:name w:val="称呼 字符"/>
    <w:link w:val="16"/>
    <w:autoRedefine/>
    <w:qFormat/>
    <w:uiPriority w:val="0"/>
    <w:rPr>
      <w:rFonts w:ascii="Times New Roman" w:hAnsi="Times New Roman" w:eastAsia="宋体" w:cs="Times New Roman"/>
      <w:kern w:val="2"/>
      <w:sz w:val="21"/>
      <w:lang w:bidi="ar-SA"/>
    </w:rPr>
  </w:style>
  <w:style w:type="character" w:customStyle="1" w:styleId="96">
    <w:name w:val="正文文本 3 字符"/>
    <w:link w:val="17"/>
    <w:autoRedefine/>
    <w:qFormat/>
    <w:uiPriority w:val="0"/>
    <w:rPr>
      <w:rFonts w:ascii="仿宋_GB2312" w:hAnsi="Arial" w:eastAsia="仿宋_GB2312" w:cs="Times New Roman"/>
      <w:kern w:val="2"/>
      <w:sz w:val="32"/>
      <w:szCs w:val="32"/>
      <w:lang w:val="en-US" w:eastAsia="zh-CN" w:bidi="ar-SA"/>
    </w:rPr>
  </w:style>
  <w:style w:type="character" w:customStyle="1" w:styleId="97">
    <w:name w:val="纯文本 字符"/>
    <w:link w:val="25"/>
    <w:autoRedefine/>
    <w:qFormat/>
    <w:uiPriority w:val="0"/>
    <w:rPr>
      <w:rFonts w:ascii="宋体" w:hAnsi="Courier New" w:eastAsia="宋体" w:cs="Courier New"/>
      <w:kern w:val="2"/>
      <w:sz w:val="21"/>
      <w:szCs w:val="21"/>
      <w:lang w:val="en-US" w:eastAsia="zh-CN" w:bidi="ar-SA"/>
    </w:rPr>
  </w:style>
  <w:style w:type="character" w:customStyle="1" w:styleId="98">
    <w:name w:val="日期 字符"/>
    <w:link w:val="27"/>
    <w:autoRedefine/>
    <w:qFormat/>
    <w:uiPriority w:val="0"/>
    <w:rPr>
      <w:rFonts w:ascii="Times New Roman" w:hAnsi="Times New Roman" w:eastAsia="宋体" w:cs="Times New Roman"/>
      <w:kern w:val="2"/>
      <w:sz w:val="24"/>
      <w:szCs w:val="24"/>
      <w:lang w:val="en-US" w:eastAsia="zh-CN" w:bidi="ar-SA"/>
    </w:rPr>
  </w:style>
  <w:style w:type="character" w:customStyle="1" w:styleId="99">
    <w:name w:val="正文文本缩进 2 字符"/>
    <w:link w:val="28"/>
    <w:autoRedefine/>
    <w:qFormat/>
    <w:uiPriority w:val="0"/>
    <w:rPr>
      <w:rFonts w:ascii="Arial" w:hAnsi="Arial" w:eastAsia="仿宋_GB2312" w:cs="Arial"/>
      <w:kern w:val="2"/>
      <w:sz w:val="32"/>
      <w:szCs w:val="32"/>
      <w:lang w:val="en-US" w:eastAsia="zh-CN" w:bidi="ar-SA"/>
    </w:rPr>
  </w:style>
  <w:style w:type="character" w:customStyle="1" w:styleId="100">
    <w:name w:val="副标题 字符"/>
    <w:link w:val="34"/>
    <w:autoRedefine/>
    <w:qFormat/>
    <w:uiPriority w:val="0"/>
    <w:rPr>
      <w:rFonts w:ascii="Cambria" w:hAnsi="Cambria" w:eastAsia="宋体" w:cs="Times New Roman"/>
      <w:b/>
      <w:bCs/>
      <w:kern w:val="28"/>
      <w:sz w:val="32"/>
      <w:szCs w:val="32"/>
      <w:lang w:bidi="ar-SA"/>
    </w:rPr>
  </w:style>
  <w:style w:type="character" w:customStyle="1" w:styleId="101">
    <w:name w:val="脚注文本 字符"/>
    <w:link w:val="36"/>
    <w:autoRedefine/>
    <w:qFormat/>
    <w:uiPriority w:val="0"/>
    <w:rPr>
      <w:rFonts w:ascii="Times New Roman" w:hAnsi="Times New Roman" w:eastAsia="宋体" w:cs="Times New Roman"/>
      <w:sz w:val="18"/>
      <w:szCs w:val="18"/>
      <w:lang w:bidi="ar-SA"/>
    </w:rPr>
  </w:style>
  <w:style w:type="character" w:customStyle="1" w:styleId="102">
    <w:name w:val="正文文本缩进 3 字符"/>
    <w:link w:val="38"/>
    <w:autoRedefine/>
    <w:qFormat/>
    <w:uiPriority w:val="0"/>
    <w:rPr>
      <w:rFonts w:ascii="Arial" w:hAnsi="Arial" w:eastAsia="仿宋_GB2312" w:cs="Arial"/>
      <w:color w:val="FFFF00"/>
      <w:kern w:val="2"/>
      <w:sz w:val="32"/>
      <w:szCs w:val="32"/>
      <w:lang w:val="en-US" w:eastAsia="zh-CN" w:bidi="ar-SA"/>
    </w:rPr>
  </w:style>
  <w:style w:type="character" w:customStyle="1" w:styleId="103">
    <w:name w:val="正文文本 2 字符"/>
    <w:link w:val="42"/>
    <w:autoRedefine/>
    <w:qFormat/>
    <w:uiPriority w:val="0"/>
    <w:rPr>
      <w:rFonts w:ascii="楷体_GB2312" w:hAnsi="Times New Roman" w:eastAsia="楷体_GB2312" w:cs="Times New Roman"/>
      <w:kern w:val="2"/>
      <w:sz w:val="28"/>
      <w:szCs w:val="28"/>
      <w:lang w:val="en-US" w:eastAsia="zh-CN" w:bidi="ar-SA"/>
    </w:rPr>
  </w:style>
  <w:style w:type="character" w:customStyle="1" w:styleId="104">
    <w:name w:val="HTML 预设格式 字符"/>
    <w:link w:val="43"/>
    <w:autoRedefine/>
    <w:qFormat/>
    <w:uiPriority w:val="0"/>
    <w:rPr>
      <w:rFonts w:ascii="Arial" w:hAnsi="Arial" w:eastAsia="宋体" w:cs="Arial"/>
      <w:sz w:val="28"/>
      <w:szCs w:val="28"/>
      <w:lang w:val="en-US" w:eastAsia="zh-CN" w:bidi="ar-SA"/>
    </w:rPr>
  </w:style>
  <w:style w:type="character" w:customStyle="1" w:styleId="105">
    <w:name w:val="标题 字符"/>
    <w:link w:val="46"/>
    <w:autoRedefine/>
    <w:qFormat/>
    <w:uiPriority w:val="0"/>
    <w:rPr>
      <w:rFonts w:ascii="Cambria" w:hAnsi="Cambria" w:eastAsia="宋体" w:cs="Times New Roman"/>
      <w:b/>
      <w:bCs/>
      <w:kern w:val="2"/>
      <w:sz w:val="32"/>
      <w:szCs w:val="32"/>
      <w:lang w:bidi="ar-SA"/>
    </w:rPr>
  </w:style>
  <w:style w:type="character" w:customStyle="1" w:styleId="106">
    <w:name w:val="批注主题 字符"/>
    <w:link w:val="47"/>
    <w:autoRedefine/>
    <w:qFormat/>
    <w:uiPriority w:val="0"/>
    <w:rPr>
      <w:rFonts w:ascii="Times New Roman" w:hAnsi="Times New Roman" w:eastAsia="宋体" w:cs="Times New Roman"/>
      <w:b/>
      <w:bCs/>
      <w:kern w:val="2"/>
      <w:sz w:val="21"/>
      <w:szCs w:val="21"/>
      <w:lang w:val="en-US" w:eastAsia="zh-CN" w:bidi="ar-SA"/>
    </w:rPr>
  </w:style>
  <w:style w:type="character" w:customStyle="1" w:styleId="107">
    <w:name w:val="正文文本首行缩进 字符"/>
    <w:link w:val="48"/>
    <w:autoRedefine/>
    <w:qFormat/>
    <w:uiPriority w:val="0"/>
    <w:rPr>
      <w:rFonts w:ascii="仿宋_GB2312" w:hAnsi="Times New Roman" w:eastAsia="仿宋_GB2312" w:cs="Times New Roman"/>
      <w:kern w:val="2"/>
      <w:sz w:val="30"/>
      <w:szCs w:val="30"/>
      <w:lang w:val="en-US" w:eastAsia="zh-CN" w:bidi="ar-SA"/>
    </w:rPr>
  </w:style>
  <w:style w:type="paragraph" w:customStyle="1" w:styleId="108">
    <w:name w:val="首行缩进"/>
    <w:basedOn w:val="1"/>
    <w:autoRedefine/>
    <w:qFormat/>
    <w:uiPriority w:val="0"/>
    <w:rPr>
      <w:lang w:val="zh-CN"/>
    </w:rPr>
  </w:style>
  <w:style w:type="paragraph" w:customStyle="1" w:styleId="109">
    <w:name w:val="Table Paragraph"/>
    <w:basedOn w:val="1"/>
    <w:autoRedefine/>
    <w:qFormat/>
    <w:uiPriority w:val="0"/>
    <w:pPr>
      <w:spacing w:line="240" w:lineRule="auto"/>
      <w:ind w:firstLine="0" w:firstLineChars="0"/>
    </w:pPr>
    <w:rPr>
      <w:rFonts w:ascii="宋体" w:hAnsi="宋体" w:cs="宋体"/>
      <w:sz w:val="21"/>
      <w:szCs w:val="21"/>
      <w:lang w:val="zh-CN" w:bidi="zh-CN"/>
    </w:rPr>
  </w:style>
  <w:style w:type="paragraph" w:customStyle="1" w:styleId="110">
    <w:name w:val="纯文本5"/>
    <w:basedOn w:val="1"/>
    <w:autoRedefine/>
    <w:qFormat/>
    <w:uiPriority w:val="0"/>
    <w:pPr>
      <w:adjustRightInd w:val="0"/>
      <w:textAlignment w:val="baseline"/>
    </w:pPr>
    <w:rPr>
      <w:rFonts w:ascii="宋体" w:hAnsi="Courier New"/>
      <w:sz w:val="28"/>
    </w:rPr>
  </w:style>
  <w:style w:type="paragraph" w:customStyle="1" w:styleId="111">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2">
    <w:name w:val="段"/>
    <w:basedOn w:val="1"/>
    <w:next w:val="1"/>
    <w:autoRedefine/>
    <w:qFormat/>
    <w:uiPriority w:val="0"/>
    <w:pPr>
      <w:widowControl/>
      <w:autoSpaceDE w:val="0"/>
      <w:autoSpaceDN w:val="0"/>
      <w:ind w:firstLine="200"/>
    </w:pPr>
    <w:rPr>
      <w:rFonts w:hint="eastAsia" w:ascii="宋体"/>
      <w:szCs w:val="20"/>
    </w:rPr>
  </w:style>
  <w:style w:type="paragraph" w:customStyle="1" w:styleId="113">
    <w:name w:val="一级条标题"/>
    <w:basedOn w:val="111"/>
    <w:next w:val="112"/>
    <w:autoRedefine/>
    <w:qFormat/>
    <w:uiPriority w:val="0"/>
    <w:pPr>
      <w:tabs>
        <w:tab w:val="left" w:pos="907"/>
      </w:tabs>
      <w:spacing w:before="0" w:after="0"/>
      <w:ind w:left="907" w:hanging="907"/>
      <w:outlineLvl w:val="2"/>
    </w:pPr>
    <w:rPr>
      <w:rFonts w:ascii="Times New Roman" w:hAnsi="宋体" w:eastAsia="宋体"/>
      <w:kern w:val="0"/>
      <w:sz w:val="20"/>
      <w:szCs w:val="20"/>
    </w:rPr>
  </w:style>
  <w:style w:type="paragraph" w:customStyle="1" w:styleId="114">
    <w:name w:val="02-标书-标题2"/>
    <w:autoRedefine/>
    <w:qFormat/>
    <w:uiPriority w:val="0"/>
    <w:pPr>
      <w:numPr>
        <w:ilvl w:val="1"/>
        <w:numId w:val="2"/>
      </w:numPr>
      <w:spacing w:line="360" w:lineRule="auto"/>
      <w:outlineLvl w:val="1"/>
    </w:pPr>
    <w:rPr>
      <w:rFonts w:ascii="黑体" w:hAnsi="黑体" w:eastAsia="黑体" w:cs="Times New Roman"/>
      <w:kern w:val="2"/>
      <w:sz w:val="32"/>
      <w:szCs w:val="28"/>
      <w:lang w:val="en-US" w:eastAsia="zh-CN" w:bidi="ar-SA"/>
    </w:rPr>
  </w:style>
  <w:style w:type="character" w:customStyle="1" w:styleId="115">
    <w:name w:val="Heading 0 Char"/>
    <w:autoRedefine/>
    <w:qFormat/>
    <w:uiPriority w:val="0"/>
    <w:rPr>
      <w:rFonts w:ascii="Calibri" w:hAnsi="Calibri" w:eastAsia="宋体" w:cs="Times New Roman"/>
      <w:b/>
      <w:bCs/>
      <w:kern w:val="44"/>
      <w:sz w:val="44"/>
      <w:szCs w:val="44"/>
      <w:lang w:val="en-US" w:eastAsia="zh-CN" w:bidi="ar-SA"/>
    </w:rPr>
  </w:style>
  <w:style w:type="character" w:customStyle="1" w:styleId="116">
    <w:name w:val="Heading 2 Char"/>
    <w:autoRedefine/>
    <w:qFormat/>
    <w:uiPriority w:val="0"/>
    <w:rPr>
      <w:rFonts w:ascii="Calibri Light" w:hAnsi="Calibri Light" w:eastAsia="宋体" w:cs="Times New Roman"/>
      <w:b/>
      <w:bCs/>
      <w:kern w:val="2"/>
      <w:sz w:val="32"/>
      <w:szCs w:val="32"/>
      <w:lang w:val="en-US" w:eastAsia="zh-CN" w:bidi="ar-SA"/>
    </w:rPr>
  </w:style>
  <w:style w:type="character" w:customStyle="1" w:styleId="117">
    <w:name w:val="Char Char3"/>
    <w:autoRedefine/>
    <w:qFormat/>
    <w:uiPriority w:val="0"/>
    <w:rPr>
      <w:rFonts w:ascii="Times New Roman" w:hAnsi="Times New Roman" w:eastAsia="宋体" w:cs="Times New Roman"/>
      <w:sz w:val="18"/>
      <w:szCs w:val="18"/>
      <w:lang w:bidi="ar-SA"/>
    </w:rPr>
  </w:style>
  <w:style w:type="character" w:customStyle="1" w:styleId="118">
    <w:name w:val="Char Char13"/>
    <w:autoRedefine/>
    <w:qFormat/>
    <w:uiPriority w:val="0"/>
    <w:rPr>
      <w:rFonts w:ascii="Times New Roman" w:hAnsi="Times New Roman" w:eastAsia="宋体" w:cs="Times New Roman"/>
      <w:sz w:val="18"/>
    </w:rPr>
  </w:style>
  <w:style w:type="character" w:customStyle="1" w:styleId="119">
    <w:name w:val="美标题2 Char Char Char"/>
    <w:link w:val="120"/>
    <w:autoRedefine/>
    <w:qFormat/>
    <w:uiPriority w:val="0"/>
    <w:rPr>
      <w:rFonts w:ascii="宋体" w:hAnsi="宋体" w:eastAsia="宋体" w:cs="Times New Roman"/>
      <w:b/>
      <w:kern w:val="2"/>
      <w:sz w:val="28"/>
      <w:lang w:bidi="ar-SA"/>
    </w:rPr>
  </w:style>
  <w:style w:type="paragraph" w:customStyle="1" w:styleId="120">
    <w:name w:val="美标题2"/>
    <w:basedOn w:val="1"/>
    <w:link w:val="119"/>
    <w:autoRedefine/>
    <w:qFormat/>
    <w:uiPriority w:val="0"/>
    <w:rPr>
      <w:rFonts w:ascii="宋体" w:hAnsi="宋体"/>
      <w:b/>
      <w:sz w:val="28"/>
      <w:szCs w:val="20"/>
    </w:rPr>
  </w:style>
  <w:style w:type="character" w:customStyle="1" w:styleId="121">
    <w:name w:val="普通文字1 Char"/>
    <w:autoRedefine/>
    <w:qFormat/>
    <w:uiPriority w:val="0"/>
    <w:rPr>
      <w:rFonts w:ascii="Courier New" w:hAnsi="Courier New" w:eastAsia="宋体" w:cs="Times New Roman"/>
      <w:lang w:val="en-US" w:eastAsia="en-US" w:bidi="ar-SA"/>
    </w:rPr>
  </w:style>
  <w:style w:type="character" w:customStyle="1" w:styleId="122">
    <w:name w:val="Char Char20"/>
    <w:autoRedefine/>
    <w:qFormat/>
    <w:uiPriority w:val="0"/>
    <w:rPr>
      <w:rFonts w:ascii="Times New Roman" w:hAnsi="Times New Roman" w:eastAsia="宋体" w:cs="Times New Roman"/>
      <w:b/>
      <w:sz w:val="32"/>
    </w:rPr>
  </w:style>
  <w:style w:type="character" w:customStyle="1" w:styleId="123">
    <w:name w:val="small-text"/>
    <w:autoRedefine/>
    <w:qFormat/>
    <w:uiPriority w:val="0"/>
    <w:rPr>
      <w:rFonts w:ascii="Times New Roman" w:hAnsi="Times New Roman" w:eastAsia="宋体" w:cs="Times New Roman"/>
    </w:rPr>
  </w:style>
  <w:style w:type="character" w:customStyle="1" w:styleId="124">
    <w:name w:val="美标题一 Char Char"/>
    <w:link w:val="125"/>
    <w:autoRedefine/>
    <w:qFormat/>
    <w:uiPriority w:val="0"/>
    <w:rPr>
      <w:rFonts w:ascii="Times New Roman" w:hAnsi="Times New Roman" w:eastAsia="宋体" w:cs="Times New Roman"/>
      <w:b/>
      <w:kern w:val="2"/>
      <w:sz w:val="36"/>
      <w:lang w:bidi="ar-SA"/>
    </w:rPr>
  </w:style>
  <w:style w:type="paragraph" w:customStyle="1" w:styleId="125">
    <w:name w:val="美标题一"/>
    <w:basedOn w:val="1"/>
    <w:link w:val="124"/>
    <w:autoRedefine/>
    <w:qFormat/>
    <w:uiPriority w:val="0"/>
    <w:pPr>
      <w:numPr>
        <w:ilvl w:val="0"/>
        <w:numId w:val="3"/>
      </w:numPr>
      <w:tabs>
        <w:tab w:val="left" w:pos="907"/>
        <w:tab w:val="left" w:pos="1995"/>
        <w:tab w:val="clear" w:pos="709"/>
      </w:tabs>
      <w:jc w:val="center"/>
    </w:pPr>
    <w:rPr>
      <w:b/>
      <w:sz w:val="36"/>
      <w:szCs w:val="20"/>
    </w:rPr>
  </w:style>
  <w:style w:type="character" w:customStyle="1" w:styleId="126">
    <w:name w:val="apple-converted-space"/>
    <w:autoRedefine/>
    <w:qFormat/>
    <w:uiPriority w:val="0"/>
    <w:rPr>
      <w:rFonts w:ascii="Times New Roman" w:hAnsi="Times New Roman" w:eastAsia="宋体" w:cs="Times New Roman"/>
    </w:rPr>
  </w:style>
  <w:style w:type="character" w:customStyle="1" w:styleId="127">
    <w:name w:val="标题4 Char1"/>
    <w:autoRedefine/>
    <w:qFormat/>
    <w:uiPriority w:val="0"/>
    <w:rPr>
      <w:rFonts w:ascii="Times New Roman" w:hAnsi="Times New Roman" w:eastAsia="宋体" w:cs="Times New Roman"/>
      <w:b/>
      <w:kern w:val="2"/>
      <w:sz w:val="24"/>
      <w:lang w:val="en-US" w:eastAsia="zh-CN" w:bidi="ar-SA"/>
    </w:rPr>
  </w:style>
  <w:style w:type="character" w:customStyle="1" w:styleId="128">
    <w:name w:val="hcp2"/>
    <w:autoRedefine/>
    <w:qFormat/>
    <w:uiPriority w:val="0"/>
    <w:rPr>
      <w:rFonts w:ascii="宋体" w:hAnsi="宋体" w:eastAsia="宋体" w:cs="Times New Roman"/>
    </w:rPr>
  </w:style>
  <w:style w:type="character" w:customStyle="1" w:styleId="129">
    <w:name w:val="tw4winMark"/>
    <w:autoRedefine/>
    <w:qFormat/>
    <w:uiPriority w:val="0"/>
    <w:rPr>
      <w:rFonts w:ascii="Courier New" w:hAnsi="Courier New" w:eastAsia="宋体" w:cs="Courier New"/>
      <w:vanish/>
      <w:color w:val="800080"/>
      <w:vertAlign w:val="subscript"/>
    </w:rPr>
  </w:style>
  <w:style w:type="character" w:customStyle="1" w:styleId="130">
    <w:name w:val="rmv"/>
    <w:autoRedefine/>
    <w:qFormat/>
    <w:uiPriority w:val="0"/>
    <w:rPr>
      <w:rFonts w:ascii="Times New Roman" w:hAnsi="Times New Roman" w:eastAsia="宋体" w:cs="Times New Roman"/>
    </w:rPr>
  </w:style>
  <w:style w:type="character" w:customStyle="1" w:styleId="131">
    <w:name w:val="Char Char11"/>
    <w:autoRedefine/>
    <w:qFormat/>
    <w:uiPriority w:val="0"/>
    <w:rPr>
      <w:rFonts w:ascii="Times New Roman" w:hAnsi="Times New Roman" w:eastAsia="宋体" w:cs="Times New Roman"/>
      <w:b/>
      <w:bCs/>
      <w:kern w:val="44"/>
      <w:sz w:val="44"/>
      <w:szCs w:val="44"/>
      <w:lang w:val="en-US" w:eastAsia="zh-CN" w:bidi="ar-SA"/>
    </w:rPr>
  </w:style>
  <w:style w:type="character" w:customStyle="1" w:styleId="132">
    <w:name w:val="*正文 Char"/>
    <w:link w:val="133"/>
    <w:autoRedefine/>
    <w:qFormat/>
    <w:uiPriority w:val="0"/>
    <w:rPr>
      <w:rFonts w:ascii="宋体" w:hAnsi="Times New Roman" w:eastAsia="宋体" w:cs="Times New Roman"/>
      <w:sz w:val="24"/>
    </w:rPr>
  </w:style>
  <w:style w:type="paragraph" w:customStyle="1" w:styleId="133">
    <w:name w:val="*正文"/>
    <w:basedOn w:val="1"/>
    <w:link w:val="132"/>
    <w:autoRedefine/>
    <w:qFormat/>
    <w:uiPriority w:val="0"/>
    <w:pPr>
      <w:ind w:firstLine="482"/>
    </w:pPr>
    <w:rPr>
      <w:rFonts w:ascii="宋体"/>
      <w:kern w:val="0"/>
      <w:szCs w:val="20"/>
    </w:rPr>
  </w:style>
  <w:style w:type="character" w:customStyle="1" w:styleId="134">
    <w:name w:val="Footer Char"/>
    <w:autoRedefine/>
    <w:qFormat/>
    <w:uiPriority w:val="0"/>
    <w:rPr>
      <w:rFonts w:ascii="Times New Roman" w:hAnsi="Times New Roman" w:eastAsia="楷体" w:cs="Times New Roman"/>
      <w:kern w:val="2"/>
      <w:sz w:val="18"/>
      <w:szCs w:val="18"/>
      <w:lang w:val="en-US" w:eastAsia="zh-CN" w:bidi="ar-SA"/>
    </w:rPr>
  </w:style>
  <w:style w:type="character" w:customStyle="1" w:styleId="135">
    <w:name w:val="纯文本 Char1"/>
    <w:autoRedefine/>
    <w:qFormat/>
    <w:uiPriority w:val="0"/>
    <w:rPr>
      <w:rFonts w:ascii="宋体" w:hAnsi="Courier New" w:eastAsia="宋体" w:cs="Courier New"/>
      <w:kern w:val="2"/>
      <w:sz w:val="21"/>
      <w:szCs w:val="21"/>
    </w:rPr>
  </w:style>
  <w:style w:type="character" w:customStyle="1" w:styleId="136">
    <w:name w:val="case31"/>
    <w:autoRedefine/>
    <w:qFormat/>
    <w:uiPriority w:val="0"/>
    <w:rPr>
      <w:rFonts w:hint="default" w:ascii="_x000B__x000C_" w:hAnsi="_x000B__x000C_" w:eastAsia="宋体" w:cs="Times New Roman"/>
      <w:sz w:val="21"/>
      <w:szCs w:val="21"/>
    </w:rPr>
  </w:style>
  <w:style w:type="character" w:customStyle="1" w:styleId="137">
    <w:name w:val="标题 3 Char"/>
    <w:autoRedefine/>
    <w:qFormat/>
    <w:uiPriority w:val="0"/>
    <w:rPr>
      <w:rFonts w:ascii="Times New Roman" w:hAnsi="Times New Roman" w:eastAsia="宋体" w:cs="Times New Roman"/>
      <w:b/>
      <w:bCs/>
      <w:kern w:val="2"/>
      <w:sz w:val="32"/>
      <w:szCs w:val="32"/>
      <w:lang w:val="en-US" w:eastAsia="zh-CN" w:bidi="ar-SA"/>
    </w:rPr>
  </w:style>
  <w:style w:type="character" w:customStyle="1" w:styleId="138">
    <w:name w:val="页脚 Char1"/>
    <w:autoRedefine/>
    <w:qFormat/>
    <w:uiPriority w:val="0"/>
    <w:rPr>
      <w:rFonts w:ascii="Times New Roman" w:hAnsi="Times New Roman" w:eastAsia="宋体" w:cs="Times New Roman"/>
      <w:kern w:val="2"/>
      <w:sz w:val="18"/>
      <w:szCs w:val="18"/>
    </w:rPr>
  </w:style>
  <w:style w:type="character" w:customStyle="1" w:styleId="139">
    <w:name w:val="Char Char22"/>
    <w:autoRedefine/>
    <w:qFormat/>
    <w:uiPriority w:val="0"/>
    <w:rPr>
      <w:rFonts w:ascii="Times New Roman" w:hAnsi="Times New Roman" w:eastAsia="宋体" w:cs="Times New Roman"/>
      <w:b/>
      <w:kern w:val="44"/>
      <w:sz w:val="44"/>
    </w:rPr>
  </w:style>
  <w:style w:type="character" w:customStyle="1" w:styleId="140">
    <w:name w:val="正文格式 Char Char"/>
    <w:autoRedefine/>
    <w:qFormat/>
    <w:uiPriority w:val="0"/>
    <w:rPr>
      <w:rFonts w:ascii="Times New Roman" w:hAnsi="Times New Roman" w:eastAsia="宋体" w:cs="Times New Roman"/>
      <w:kern w:val="24"/>
      <w:sz w:val="24"/>
      <w:szCs w:val="24"/>
      <w:lang w:val="en-US" w:eastAsia="zh-CN" w:bidi="ar-SA"/>
    </w:rPr>
  </w:style>
  <w:style w:type="character" w:customStyle="1" w:styleId="141">
    <w:name w:val="标题2 Char Char Char"/>
    <w:link w:val="142"/>
    <w:autoRedefine/>
    <w:qFormat/>
    <w:uiPriority w:val="0"/>
    <w:rPr>
      <w:rFonts w:ascii="宋体" w:hAnsi="宋体" w:eastAsia="Times New Roman" w:cs="Times New Roman"/>
      <w:b/>
      <w:sz w:val="32"/>
      <w:szCs w:val="24"/>
      <w:lang w:val="en-US" w:eastAsia="zh-CN" w:bidi="ar-SA"/>
    </w:rPr>
  </w:style>
  <w:style w:type="paragraph" w:customStyle="1" w:styleId="142">
    <w:name w:val="标题2"/>
    <w:link w:val="141"/>
    <w:autoRedefine/>
    <w:qFormat/>
    <w:uiPriority w:val="0"/>
    <w:rPr>
      <w:rFonts w:ascii="宋体" w:hAnsi="宋体" w:eastAsia="Times New Roman" w:cs="Times New Roman"/>
      <w:b/>
      <w:sz w:val="32"/>
      <w:szCs w:val="24"/>
      <w:lang w:val="en-US" w:eastAsia="zh-CN" w:bidi="ar-SA"/>
    </w:rPr>
  </w:style>
  <w:style w:type="character" w:customStyle="1" w:styleId="143">
    <w:name w:val="表格 Char Char"/>
    <w:link w:val="144"/>
    <w:autoRedefine/>
    <w:qFormat/>
    <w:uiPriority w:val="0"/>
    <w:rPr>
      <w:rFonts w:ascii="Calibri" w:hAnsi="Calibri" w:eastAsia="宋体" w:cs="Times New Roman"/>
      <w:sz w:val="24"/>
      <w:szCs w:val="24"/>
      <w:lang w:bidi="ar-SA"/>
    </w:rPr>
  </w:style>
  <w:style w:type="paragraph" w:customStyle="1" w:styleId="144">
    <w:name w:val="表格"/>
    <w:basedOn w:val="1"/>
    <w:link w:val="143"/>
    <w:autoRedefine/>
    <w:qFormat/>
    <w:uiPriority w:val="0"/>
    <w:pPr>
      <w:widowControl/>
      <w:ind w:firstLine="200"/>
      <w:jc w:val="left"/>
    </w:pPr>
    <w:rPr>
      <w:rFonts w:ascii="Calibri" w:hAnsi="Calibri"/>
      <w:kern w:val="0"/>
    </w:rPr>
  </w:style>
  <w:style w:type="character" w:customStyle="1" w:styleId="145">
    <w:name w:val="标题 2 Char1"/>
    <w:autoRedefine/>
    <w:qFormat/>
    <w:uiPriority w:val="0"/>
    <w:rPr>
      <w:rFonts w:ascii="Cambria" w:hAnsi="Cambria" w:eastAsia="宋体" w:cs="Times New Roman"/>
      <w:b/>
      <w:bCs/>
      <w:kern w:val="2"/>
      <w:sz w:val="32"/>
      <w:szCs w:val="32"/>
    </w:rPr>
  </w:style>
  <w:style w:type="character" w:customStyle="1" w:styleId="146">
    <w:name w:val="Char Char19"/>
    <w:autoRedefine/>
    <w:qFormat/>
    <w:uiPriority w:val="0"/>
    <w:rPr>
      <w:rFonts w:ascii="宋体" w:hAnsi="宋体" w:eastAsia="宋体" w:cs="Times New Roman"/>
      <w:b/>
      <w:sz w:val="24"/>
      <w:u w:val="single"/>
    </w:rPr>
  </w:style>
  <w:style w:type="character" w:customStyle="1" w:styleId="147">
    <w:name w:val="方案文档 Char Char"/>
    <w:autoRedefine/>
    <w:qFormat/>
    <w:uiPriority w:val="0"/>
    <w:rPr>
      <w:rFonts w:ascii="宋体" w:hAnsi="宋体" w:eastAsia="宋体" w:cs="Times New Roman"/>
      <w:b/>
      <w:kern w:val="2"/>
      <w:sz w:val="24"/>
      <w:szCs w:val="24"/>
      <w:lang w:bidi="ar-SA"/>
    </w:rPr>
  </w:style>
  <w:style w:type="character" w:customStyle="1" w:styleId="148">
    <w:name w:val="h31"/>
    <w:autoRedefine/>
    <w:qFormat/>
    <w:uiPriority w:val="0"/>
    <w:rPr>
      <w:rFonts w:ascii="Times New Roman" w:hAnsi="Times New Roman" w:eastAsia="宋体" w:cs="Times New Roman"/>
      <w:sz w:val="21"/>
      <w:szCs w:val="21"/>
    </w:rPr>
  </w:style>
  <w:style w:type="character" w:customStyle="1" w:styleId="149">
    <w:name w:val="Char Char7"/>
    <w:autoRedefine/>
    <w:qFormat/>
    <w:uiPriority w:val="0"/>
    <w:rPr>
      <w:rFonts w:ascii="Times New Roman" w:hAnsi="Times New Roman" w:eastAsia="宋体" w:cs="Times New Roman"/>
      <w:b/>
      <w:kern w:val="2"/>
      <w:sz w:val="24"/>
      <w:lang w:val="en-US" w:eastAsia="zh-CN" w:bidi="ar-SA"/>
    </w:rPr>
  </w:style>
  <w:style w:type="character" w:customStyle="1" w:styleId="150">
    <w:name w:val="标题 6 Char1"/>
    <w:autoRedefine/>
    <w:qFormat/>
    <w:uiPriority w:val="0"/>
    <w:rPr>
      <w:rFonts w:ascii="Arial" w:hAnsi="Arial" w:eastAsia="黑体" w:cs="Times New Roman"/>
      <w:b/>
      <w:sz w:val="24"/>
      <w:szCs w:val="20"/>
    </w:rPr>
  </w:style>
  <w:style w:type="character" w:customStyle="1" w:styleId="151">
    <w:name w:val="美标题2 Char Char"/>
    <w:autoRedefine/>
    <w:qFormat/>
    <w:uiPriority w:val="0"/>
    <w:rPr>
      <w:rFonts w:ascii="宋体" w:hAnsi="宋体" w:eastAsia="宋体" w:cs="Times New Roman"/>
      <w:b/>
      <w:kern w:val="2"/>
      <w:sz w:val="28"/>
      <w:lang w:bidi="ar-SA"/>
    </w:rPr>
  </w:style>
  <w:style w:type="character" w:customStyle="1" w:styleId="152">
    <w:name w:val="Char Char4"/>
    <w:autoRedefine/>
    <w:qFormat/>
    <w:uiPriority w:val="0"/>
    <w:rPr>
      <w:rFonts w:ascii="Times New Roman" w:hAnsi="Times New Roman" w:eastAsia="宋体" w:cs="Times New Roman"/>
      <w:kern w:val="2"/>
      <w:sz w:val="18"/>
      <w:szCs w:val="18"/>
    </w:rPr>
  </w:style>
  <w:style w:type="character" w:customStyle="1" w:styleId="153">
    <w:name w:val="标题二 Char Char"/>
    <w:link w:val="154"/>
    <w:autoRedefine/>
    <w:qFormat/>
    <w:uiPriority w:val="0"/>
    <w:rPr>
      <w:rFonts w:ascii="楷体_GB2312" w:hAnsi="Times New Roman" w:eastAsia="楷体_GB2312" w:cs="Times New Roman"/>
      <w:color w:val="FF0000"/>
      <w:kern w:val="2"/>
      <w:sz w:val="21"/>
      <w:lang w:val="zh-CN" w:eastAsia="zh-CN" w:bidi="ar-SA"/>
    </w:rPr>
  </w:style>
  <w:style w:type="paragraph" w:customStyle="1" w:styleId="154">
    <w:name w:val="标题二"/>
    <w:basedOn w:val="1"/>
    <w:link w:val="153"/>
    <w:autoRedefine/>
    <w:qFormat/>
    <w:uiPriority w:val="0"/>
    <w:pPr>
      <w:autoSpaceDE w:val="0"/>
      <w:autoSpaceDN w:val="0"/>
      <w:adjustRightInd w:val="0"/>
      <w:spacing w:line="380" w:lineRule="exact"/>
      <w:ind w:firstLine="420"/>
    </w:pPr>
    <w:rPr>
      <w:rFonts w:ascii="楷体_GB2312" w:eastAsia="楷体_GB2312"/>
      <w:color w:val="FF0000"/>
      <w:sz w:val="21"/>
      <w:szCs w:val="20"/>
      <w:lang w:val="zh-CN"/>
    </w:rPr>
  </w:style>
  <w:style w:type="character" w:customStyle="1" w:styleId="155">
    <w:name w:val="宝应2 Char Char"/>
    <w:link w:val="156"/>
    <w:autoRedefine/>
    <w:qFormat/>
    <w:uiPriority w:val="0"/>
    <w:rPr>
      <w:rFonts w:ascii="楷体" w:hAnsi="楷体" w:eastAsia="楷体" w:cs="Times New Roman"/>
      <w:b/>
      <w:kern w:val="2"/>
      <w:sz w:val="21"/>
      <w:lang w:val="en-US" w:eastAsia="zh-CN" w:bidi="ar-SA"/>
    </w:rPr>
  </w:style>
  <w:style w:type="paragraph" w:customStyle="1" w:styleId="156">
    <w:name w:val="宝应2"/>
    <w:basedOn w:val="3"/>
    <w:link w:val="155"/>
    <w:autoRedefine/>
    <w:qFormat/>
    <w:uiPriority w:val="0"/>
    <w:pPr>
      <w:spacing w:line="416" w:lineRule="auto"/>
      <w:jc w:val="both"/>
    </w:pPr>
    <w:rPr>
      <w:rFonts w:ascii="楷体" w:hAnsi="楷体" w:eastAsia="楷体"/>
      <w:bCs w:val="0"/>
      <w:sz w:val="21"/>
      <w:szCs w:val="20"/>
    </w:rPr>
  </w:style>
  <w:style w:type="character" w:customStyle="1" w:styleId="157">
    <w:name w:val="正文文本 Char1"/>
    <w:autoRedefine/>
    <w:qFormat/>
    <w:uiPriority w:val="0"/>
    <w:rPr>
      <w:rFonts w:ascii="Times New Roman" w:hAnsi="Times New Roman" w:eastAsia="宋体" w:cs="Times New Roman"/>
      <w:kern w:val="2"/>
      <w:sz w:val="21"/>
      <w:szCs w:val="24"/>
    </w:rPr>
  </w:style>
  <w:style w:type="character" w:customStyle="1" w:styleId="158">
    <w:name w:val="Char Char21"/>
    <w:autoRedefine/>
    <w:qFormat/>
    <w:uiPriority w:val="0"/>
    <w:rPr>
      <w:rFonts w:ascii="Arial" w:hAnsi="Arial" w:eastAsia="黑体" w:cs="Times New Roman"/>
      <w:b/>
      <w:sz w:val="32"/>
    </w:rPr>
  </w:style>
  <w:style w:type="character" w:customStyle="1" w:styleId="159">
    <w:name w:val="正文文本缩进 2 Char1"/>
    <w:autoRedefine/>
    <w:qFormat/>
    <w:uiPriority w:val="0"/>
    <w:rPr>
      <w:rFonts w:ascii="Times New Roman" w:hAnsi="Times New Roman" w:eastAsia="宋体" w:cs="Times New Roman"/>
      <w:kern w:val="2"/>
      <w:sz w:val="21"/>
      <w:szCs w:val="24"/>
    </w:rPr>
  </w:style>
  <w:style w:type="character" w:customStyle="1" w:styleId="160">
    <w:name w:val="宝应1 Char Char"/>
    <w:link w:val="161"/>
    <w:autoRedefine/>
    <w:qFormat/>
    <w:uiPriority w:val="0"/>
    <w:rPr>
      <w:rFonts w:ascii="楷体" w:hAnsi="楷体" w:eastAsia="楷体" w:cs="Times New Roman"/>
      <w:b/>
      <w:kern w:val="44"/>
      <w:sz w:val="32"/>
      <w:lang w:val="en-US" w:eastAsia="zh-CN" w:bidi="ar-SA"/>
    </w:rPr>
  </w:style>
  <w:style w:type="paragraph" w:customStyle="1" w:styleId="161">
    <w:name w:val="宝应1"/>
    <w:basedOn w:val="2"/>
    <w:link w:val="160"/>
    <w:autoRedefine/>
    <w:qFormat/>
    <w:uiPriority w:val="0"/>
    <w:pPr>
      <w:keepLines/>
      <w:spacing w:before="340" w:after="330" w:line="578" w:lineRule="auto"/>
    </w:pPr>
    <w:rPr>
      <w:rFonts w:ascii="楷体" w:hAnsi="楷体" w:eastAsia="楷体"/>
      <w:bCs w:val="0"/>
      <w:kern w:val="44"/>
      <w:sz w:val="32"/>
      <w:szCs w:val="20"/>
    </w:rPr>
  </w:style>
  <w:style w:type="character" w:customStyle="1" w:styleId="162">
    <w:name w:val="表正文 Char"/>
    <w:autoRedefine/>
    <w:qFormat/>
    <w:uiPriority w:val="0"/>
    <w:rPr>
      <w:rFonts w:ascii="Times New Roman" w:hAnsi="Times New Roman" w:eastAsia="楷体_GB2312" w:cs="Times New Roman"/>
      <w:kern w:val="2"/>
      <w:sz w:val="24"/>
      <w:lang w:val="en-US" w:eastAsia="zh-CN" w:bidi="ar-SA"/>
    </w:rPr>
  </w:style>
  <w:style w:type="character" w:customStyle="1" w:styleId="163">
    <w:name w:val="Heading 1 Char"/>
    <w:autoRedefine/>
    <w:qFormat/>
    <w:uiPriority w:val="0"/>
    <w:rPr>
      <w:rFonts w:ascii="Times New Roman" w:hAnsi="Times New Roman" w:eastAsia="宋体" w:cs="Times New Roman"/>
      <w:b/>
      <w:bCs/>
      <w:kern w:val="44"/>
      <w:sz w:val="44"/>
      <w:szCs w:val="44"/>
      <w:lang w:val="en-US" w:eastAsia="zh-CN" w:bidi="ar-SA"/>
    </w:rPr>
  </w:style>
  <w:style w:type="character" w:customStyle="1" w:styleId="164">
    <w:name w:val="List Paragraph Char"/>
    <w:link w:val="165"/>
    <w:autoRedefine/>
    <w:qFormat/>
    <w:uiPriority w:val="0"/>
    <w:rPr>
      <w:rFonts w:ascii="Calibri" w:hAnsi="Calibri" w:eastAsia="宋体" w:cs="Calibri"/>
      <w:kern w:val="2"/>
      <w:sz w:val="21"/>
      <w:szCs w:val="21"/>
      <w:lang w:val="en-US" w:eastAsia="zh-CN" w:bidi="ar-SA"/>
    </w:rPr>
  </w:style>
  <w:style w:type="paragraph" w:customStyle="1" w:styleId="165">
    <w:name w:val="列出段落2"/>
    <w:basedOn w:val="1"/>
    <w:link w:val="164"/>
    <w:autoRedefine/>
    <w:qFormat/>
    <w:uiPriority w:val="0"/>
    <w:pPr>
      <w:ind w:firstLine="420"/>
    </w:pPr>
    <w:rPr>
      <w:rFonts w:ascii="Calibri" w:hAnsi="Calibri" w:cs="Calibri"/>
      <w:sz w:val="21"/>
      <w:szCs w:val="21"/>
    </w:rPr>
  </w:style>
  <w:style w:type="character" w:customStyle="1" w:styleId="166">
    <w:name w:val="正文文本缩进 Char1"/>
    <w:autoRedefine/>
    <w:qFormat/>
    <w:uiPriority w:val="0"/>
    <w:rPr>
      <w:rFonts w:ascii="Times New Roman" w:hAnsi="Times New Roman" w:eastAsia="宋体" w:cs="Times New Roman"/>
      <w:kern w:val="2"/>
      <w:sz w:val="21"/>
      <w:szCs w:val="24"/>
    </w:rPr>
  </w:style>
  <w:style w:type="character" w:customStyle="1" w:styleId="167">
    <w:name w:val="加点正文缩进 Char Char"/>
    <w:link w:val="168"/>
    <w:autoRedefine/>
    <w:qFormat/>
    <w:uiPriority w:val="0"/>
    <w:rPr>
      <w:rFonts w:ascii="宋体" w:hAnsi="宋体" w:eastAsia="宋体" w:cs="Times New Roman"/>
      <w:kern w:val="2"/>
      <w:sz w:val="24"/>
      <w:szCs w:val="24"/>
      <w:lang w:val="en-US" w:eastAsia="zh-CN" w:bidi="ar-SA"/>
    </w:rPr>
  </w:style>
  <w:style w:type="paragraph" w:customStyle="1" w:styleId="168">
    <w:name w:val="加点正文缩进"/>
    <w:basedOn w:val="1"/>
    <w:link w:val="167"/>
    <w:autoRedefine/>
    <w:qFormat/>
    <w:uiPriority w:val="0"/>
    <w:pPr>
      <w:numPr>
        <w:ilvl w:val="0"/>
        <w:numId w:val="4"/>
      </w:numPr>
      <w:spacing w:line="300" w:lineRule="auto"/>
    </w:pPr>
    <w:rPr>
      <w:rFonts w:ascii="宋体" w:hAnsi="宋体"/>
    </w:rPr>
  </w:style>
  <w:style w:type="character" w:customStyle="1" w:styleId="169">
    <w:name w:val="标题2 Char Char"/>
    <w:autoRedefine/>
    <w:qFormat/>
    <w:uiPriority w:val="0"/>
    <w:rPr>
      <w:rFonts w:ascii="宋体" w:hAnsi="宋体" w:eastAsia="宋体" w:cs="Times New Roman"/>
      <w:b/>
      <w:sz w:val="32"/>
      <w:szCs w:val="24"/>
      <w:lang w:val="en-US" w:eastAsia="zh-CN" w:bidi="ar-SA"/>
    </w:rPr>
  </w:style>
  <w:style w:type="character" w:customStyle="1" w:styleId="170">
    <w:name w:val="方案文档 Char Char Char"/>
    <w:link w:val="171"/>
    <w:autoRedefine/>
    <w:qFormat/>
    <w:uiPriority w:val="0"/>
    <w:rPr>
      <w:rFonts w:ascii="宋体" w:hAnsi="宋体" w:eastAsia="宋体" w:cs="Times New Roman"/>
      <w:b/>
      <w:kern w:val="2"/>
      <w:sz w:val="24"/>
      <w:szCs w:val="24"/>
      <w:lang w:bidi="ar-SA"/>
    </w:rPr>
  </w:style>
  <w:style w:type="paragraph" w:customStyle="1" w:styleId="171">
    <w:name w:val="方案文档"/>
    <w:basedOn w:val="1"/>
    <w:link w:val="170"/>
    <w:autoRedefine/>
    <w:qFormat/>
    <w:uiPriority w:val="0"/>
    <w:pPr>
      <w:tabs>
        <w:tab w:val="left" w:pos="420"/>
      </w:tabs>
      <w:ind w:left="420"/>
    </w:pPr>
    <w:rPr>
      <w:rFonts w:ascii="宋体" w:hAnsi="宋体"/>
      <w:b/>
    </w:rPr>
  </w:style>
  <w:style w:type="character" w:customStyle="1" w:styleId="172">
    <w:name w:val="Header Char"/>
    <w:autoRedefine/>
    <w:qFormat/>
    <w:uiPriority w:val="0"/>
    <w:rPr>
      <w:rFonts w:ascii="Times New Roman" w:hAnsi="Times New Roman" w:eastAsia="楷体" w:cs="Times New Roman"/>
      <w:kern w:val="2"/>
      <w:sz w:val="18"/>
      <w:szCs w:val="18"/>
      <w:lang w:val="en-US" w:eastAsia="zh-CN" w:bidi="ar-SA"/>
    </w:rPr>
  </w:style>
  <w:style w:type="character" w:customStyle="1" w:styleId="173">
    <w:name w:val="普通文字 Char Char Char Char Char Char Char"/>
    <w:autoRedefine/>
    <w:qFormat/>
    <w:uiPriority w:val="0"/>
    <w:rPr>
      <w:rFonts w:ascii="宋体" w:hAnsi="Courier New" w:eastAsia="宋体" w:cs="Times New Roman"/>
      <w:sz w:val="24"/>
      <w:szCs w:val="20"/>
    </w:rPr>
  </w:style>
  <w:style w:type="character" w:customStyle="1" w:styleId="174">
    <w:name w:val="宝应-表格 Char Char"/>
    <w:link w:val="175"/>
    <w:autoRedefine/>
    <w:qFormat/>
    <w:uiPriority w:val="0"/>
    <w:rPr>
      <w:rFonts w:ascii="宋体" w:hAnsi="宋体" w:eastAsia="楷体" w:cs="Times New Roman"/>
      <w:color w:val="000000"/>
      <w:sz w:val="21"/>
      <w:lang w:val="en-US" w:eastAsia="zh-CN" w:bidi="ar-SA"/>
    </w:rPr>
  </w:style>
  <w:style w:type="paragraph" w:customStyle="1" w:styleId="175">
    <w:name w:val="宝应-表格"/>
    <w:basedOn w:val="1"/>
    <w:link w:val="174"/>
    <w:autoRedefine/>
    <w:qFormat/>
    <w:uiPriority w:val="0"/>
    <w:pPr>
      <w:widowControl/>
      <w:jc w:val="left"/>
    </w:pPr>
    <w:rPr>
      <w:rFonts w:ascii="宋体" w:hAnsi="宋体" w:eastAsia="楷体"/>
      <w:color w:val="000000"/>
      <w:kern w:val="0"/>
      <w:sz w:val="21"/>
      <w:szCs w:val="20"/>
    </w:rPr>
  </w:style>
  <w:style w:type="character" w:customStyle="1" w:styleId="176">
    <w:name w:val="宝应-正文 Char Char"/>
    <w:link w:val="177"/>
    <w:autoRedefine/>
    <w:qFormat/>
    <w:uiPriority w:val="0"/>
    <w:rPr>
      <w:rFonts w:ascii="楷体_GB2312" w:hAnsi="Times New Roman" w:eastAsia="楷体" w:cs="Times New Roman"/>
      <w:kern w:val="2"/>
      <w:sz w:val="21"/>
      <w:lang w:val="zh-CN" w:eastAsia="zh-CN" w:bidi="ar-SA"/>
    </w:rPr>
  </w:style>
  <w:style w:type="paragraph" w:customStyle="1" w:styleId="177">
    <w:name w:val="宝应-正文"/>
    <w:basedOn w:val="1"/>
    <w:link w:val="176"/>
    <w:autoRedefine/>
    <w:qFormat/>
    <w:uiPriority w:val="0"/>
    <w:pPr>
      <w:autoSpaceDE w:val="0"/>
      <w:autoSpaceDN w:val="0"/>
      <w:adjustRightInd w:val="0"/>
      <w:spacing w:line="380" w:lineRule="exact"/>
      <w:ind w:firstLine="420"/>
    </w:pPr>
    <w:rPr>
      <w:rFonts w:ascii="楷体_GB2312" w:eastAsia="楷体"/>
      <w:sz w:val="21"/>
      <w:szCs w:val="20"/>
      <w:lang w:val="zh-CN"/>
    </w:rPr>
  </w:style>
  <w:style w:type="character" w:customStyle="1" w:styleId="178">
    <w:name w:val="正文格式 Char1"/>
    <w:link w:val="179"/>
    <w:autoRedefine/>
    <w:qFormat/>
    <w:uiPriority w:val="0"/>
    <w:rPr>
      <w:rFonts w:ascii="Times New Roman" w:hAnsi="Times New Roman" w:eastAsia="宋体" w:cs="Times New Roman"/>
      <w:sz w:val="24"/>
      <w:lang w:val="en-US" w:eastAsia="zh-CN" w:bidi="ar-SA"/>
    </w:rPr>
  </w:style>
  <w:style w:type="paragraph" w:customStyle="1" w:styleId="179">
    <w:name w:val="正文格式"/>
    <w:basedOn w:val="1"/>
    <w:link w:val="178"/>
    <w:autoRedefine/>
    <w:qFormat/>
    <w:uiPriority w:val="0"/>
    <w:pPr>
      <w:widowControl/>
      <w:adjustRightInd w:val="0"/>
      <w:snapToGrid w:val="0"/>
      <w:ind w:firstLine="482"/>
      <w:textAlignment w:val="baseline"/>
    </w:pPr>
    <w:rPr>
      <w:kern w:val="0"/>
      <w:szCs w:val="20"/>
    </w:rPr>
  </w:style>
  <w:style w:type="character" w:customStyle="1" w:styleId="180">
    <w:name w:val="正文（缩进） Char Char"/>
    <w:link w:val="181"/>
    <w:autoRedefine/>
    <w:qFormat/>
    <w:uiPriority w:val="0"/>
    <w:rPr>
      <w:rFonts w:ascii="Times New Roman" w:hAnsi="Times New Roman" w:eastAsia="宋体" w:cs="Times New Roman"/>
      <w:kern w:val="2"/>
      <w:sz w:val="24"/>
      <w:szCs w:val="24"/>
      <w:lang w:val="en-US" w:eastAsia="zh-CN" w:bidi="ar-SA"/>
    </w:rPr>
  </w:style>
  <w:style w:type="paragraph" w:customStyle="1" w:styleId="181">
    <w:name w:val="正文（缩进）"/>
    <w:basedOn w:val="1"/>
    <w:link w:val="180"/>
    <w:autoRedefine/>
    <w:qFormat/>
    <w:uiPriority w:val="0"/>
    <w:pPr>
      <w:spacing w:before="156" w:beforeLines="50"/>
    </w:pPr>
  </w:style>
  <w:style w:type="character" w:customStyle="1" w:styleId="182">
    <w:name w:val="Char Char8"/>
    <w:autoRedefine/>
    <w:qFormat/>
    <w:uiPriority w:val="0"/>
    <w:rPr>
      <w:rFonts w:ascii="宋体" w:hAnsi="Courier New" w:eastAsia="宋体" w:cs="Courier New"/>
      <w:kern w:val="2"/>
      <w:sz w:val="21"/>
      <w:szCs w:val="21"/>
      <w:lang w:val="en-US" w:eastAsia="zh-CN" w:bidi="ar-SA"/>
    </w:rPr>
  </w:style>
  <w:style w:type="character" w:customStyle="1" w:styleId="183">
    <w:name w:val="newstitle"/>
    <w:autoRedefine/>
    <w:qFormat/>
    <w:uiPriority w:val="0"/>
    <w:rPr>
      <w:rFonts w:ascii="Times New Roman" w:hAnsi="Times New Roman" w:eastAsia="宋体" w:cs="Times New Roman"/>
    </w:rPr>
  </w:style>
  <w:style w:type="character" w:customStyle="1" w:styleId="184">
    <w:name w:val="二级目录 Char Char"/>
    <w:autoRedefine/>
    <w:qFormat/>
    <w:uiPriority w:val="0"/>
    <w:rPr>
      <w:rFonts w:ascii="Times New Roman" w:hAnsi="Times New Roman" w:eastAsia="宋体" w:cs="Times New Roman"/>
      <w:b/>
      <w:kern w:val="2"/>
      <w:sz w:val="30"/>
      <w:szCs w:val="28"/>
      <w:lang w:val="en-US" w:eastAsia="zh-CN" w:bidi="ar-SA"/>
    </w:rPr>
  </w:style>
  <w:style w:type="character" w:customStyle="1" w:styleId="185">
    <w:name w:val="美标题3 Char Char"/>
    <w:link w:val="186"/>
    <w:autoRedefine/>
    <w:qFormat/>
    <w:uiPriority w:val="0"/>
    <w:rPr>
      <w:rFonts w:ascii="宋体" w:hAnsi="宋体" w:eastAsia="宋体" w:cs="Times New Roman"/>
      <w:b/>
      <w:kern w:val="2"/>
      <w:sz w:val="24"/>
      <w:lang w:bidi="ar-SA"/>
    </w:rPr>
  </w:style>
  <w:style w:type="paragraph" w:customStyle="1" w:styleId="186">
    <w:name w:val="美标题3"/>
    <w:basedOn w:val="1"/>
    <w:link w:val="185"/>
    <w:autoRedefine/>
    <w:qFormat/>
    <w:uiPriority w:val="0"/>
    <w:rPr>
      <w:rFonts w:ascii="宋体" w:hAnsi="宋体"/>
      <w:b/>
      <w:szCs w:val="20"/>
    </w:rPr>
  </w:style>
  <w:style w:type="character" w:customStyle="1" w:styleId="187">
    <w:name w:val="宝应3 Char Char"/>
    <w:link w:val="188"/>
    <w:autoRedefine/>
    <w:qFormat/>
    <w:uiPriority w:val="0"/>
    <w:rPr>
      <w:rFonts w:ascii="楷体_GB2312" w:hAnsi="Times New Roman" w:eastAsia="楷体_GB2312" w:cs="Times New Roman"/>
      <w:kern w:val="2"/>
      <w:sz w:val="21"/>
      <w:lang w:val="zh-CN" w:eastAsia="zh-CN" w:bidi="ar-SA"/>
    </w:rPr>
  </w:style>
  <w:style w:type="paragraph" w:customStyle="1" w:styleId="188">
    <w:name w:val="宝应3"/>
    <w:basedOn w:val="4"/>
    <w:link w:val="187"/>
    <w:autoRedefine/>
    <w:qFormat/>
    <w:uiPriority w:val="0"/>
    <w:pPr>
      <w:autoSpaceDE w:val="0"/>
      <w:autoSpaceDN w:val="0"/>
      <w:adjustRightInd w:val="0"/>
      <w:spacing w:line="380" w:lineRule="exact"/>
      <w:ind w:firstLine="420"/>
    </w:pPr>
    <w:rPr>
      <w:rFonts w:ascii="楷体_GB2312" w:eastAsia="楷体_GB2312"/>
      <w:b w:val="0"/>
      <w:bCs w:val="0"/>
      <w:sz w:val="21"/>
      <w:szCs w:val="20"/>
      <w:lang w:val="zh-CN"/>
    </w:rPr>
  </w:style>
  <w:style w:type="character" w:customStyle="1" w:styleId="189">
    <w:name w:val="Char Char14"/>
    <w:autoRedefine/>
    <w:qFormat/>
    <w:uiPriority w:val="0"/>
    <w:rPr>
      <w:rFonts w:ascii="Times New Roman" w:hAnsi="Times New Roman" w:eastAsia="宋体" w:cs="Times New Roman"/>
      <w:kern w:val="2"/>
      <w:sz w:val="18"/>
      <w:szCs w:val="18"/>
    </w:rPr>
  </w:style>
  <w:style w:type="character" w:customStyle="1" w:styleId="190">
    <w:name w:val="标题 1 Char1"/>
    <w:autoRedefine/>
    <w:qFormat/>
    <w:uiPriority w:val="0"/>
    <w:rPr>
      <w:rFonts w:ascii="Times New Roman" w:hAnsi="Times New Roman" w:eastAsia="宋体" w:cs="Times New Roman"/>
      <w:b/>
      <w:bCs/>
      <w:kern w:val="44"/>
      <w:sz w:val="44"/>
      <w:szCs w:val="44"/>
    </w:rPr>
  </w:style>
  <w:style w:type="character" w:customStyle="1" w:styleId="191">
    <w:name w:val="列出段落 Char"/>
    <w:link w:val="192"/>
    <w:autoRedefine/>
    <w:qFormat/>
    <w:uiPriority w:val="0"/>
    <w:rPr>
      <w:rFonts w:ascii="Times New Roman" w:hAnsi="Times New Roman" w:eastAsia="宋体" w:cs="Times New Roman"/>
      <w:kern w:val="2"/>
      <w:sz w:val="21"/>
      <w:szCs w:val="21"/>
      <w:lang w:val="en-US" w:eastAsia="zh-CN" w:bidi="ar-SA"/>
    </w:rPr>
  </w:style>
  <w:style w:type="paragraph" w:customStyle="1" w:styleId="192">
    <w:name w:val="_Style 50"/>
    <w:basedOn w:val="1"/>
    <w:link w:val="191"/>
    <w:autoRedefine/>
    <w:qFormat/>
    <w:uiPriority w:val="0"/>
    <w:pPr>
      <w:ind w:firstLine="420"/>
    </w:pPr>
    <w:rPr>
      <w:sz w:val="21"/>
      <w:szCs w:val="21"/>
    </w:rPr>
  </w:style>
  <w:style w:type="character" w:customStyle="1" w:styleId="193">
    <w:name w:val="Char Char5"/>
    <w:autoRedefine/>
    <w:qFormat/>
    <w:uiPriority w:val="0"/>
    <w:rPr>
      <w:rFonts w:ascii="宋体" w:hAnsi="Courier New" w:eastAsia="宋体" w:cs="Times New Roman"/>
      <w:szCs w:val="21"/>
      <w:lang w:bidi="ar-SA"/>
    </w:rPr>
  </w:style>
  <w:style w:type="character" w:customStyle="1" w:styleId="194">
    <w:name w:val="A8"/>
    <w:autoRedefine/>
    <w:qFormat/>
    <w:uiPriority w:val="0"/>
    <w:rPr>
      <w:rFonts w:ascii="MetaNormalLF-Roman" w:hAnsi="Times New Roman" w:eastAsia="MetaNormalLF-Roman" w:cs="MetaNormalLF-Roman"/>
      <w:color w:val="211D1E"/>
      <w:sz w:val="20"/>
      <w:szCs w:val="20"/>
    </w:rPr>
  </w:style>
  <w:style w:type="character" w:customStyle="1" w:styleId="195">
    <w:name w:val="clear"/>
    <w:autoRedefine/>
    <w:qFormat/>
    <w:uiPriority w:val="0"/>
    <w:rPr>
      <w:rFonts w:ascii="Times New Roman" w:hAnsi="Times New Roman" w:eastAsia="宋体" w:cs="Times New Roman"/>
    </w:rPr>
  </w:style>
  <w:style w:type="character" w:customStyle="1" w:styleId="196">
    <w:name w:val="font5 Char Char Char"/>
    <w:autoRedefine/>
    <w:qFormat/>
    <w:uiPriority w:val="0"/>
    <w:rPr>
      <w:rFonts w:ascii="宋体" w:hAnsi="宋体" w:eastAsia="宋体" w:cs="Times New Roman"/>
      <w:sz w:val="28"/>
      <w:szCs w:val="28"/>
      <w:lang w:val="en-US" w:eastAsia="zh-CN" w:bidi="ar-SA"/>
    </w:rPr>
  </w:style>
  <w:style w:type="character" w:customStyle="1" w:styleId="197">
    <w:name w:val="def"/>
    <w:autoRedefine/>
    <w:qFormat/>
    <w:uiPriority w:val="0"/>
    <w:rPr>
      <w:rFonts w:ascii="Times New Roman" w:hAnsi="Times New Roman" w:eastAsia="宋体" w:cs="Times New Roman"/>
    </w:rPr>
  </w:style>
  <w:style w:type="character" w:customStyle="1" w:styleId="198">
    <w:name w:val="页眉 Char1"/>
    <w:autoRedefine/>
    <w:qFormat/>
    <w:uiPriority w:val="0"/>
    <w:rPr>
      <w:rFonts w:ascii="Times New Roman" w:hAnsi="Times New Roman" w:eastAsia="宋体" w:cs="Times New Roman"/>
      <w:kern w:val="2"/>
      <w:sz w:val="18"/>
      <w:szCs w:val="18"/>
    </w:rPr>
  </w:style>
  <w:style w:type="character" w:customStyle="1" w:styleId="199">
    <w:name w:val="二级目录 Char Char Char"/>
    <w:link w:val="200"/>
    <w:autoRedefine/>
    <w:qFormat/>
    <w:uiPriority w:val="0"/>
    <w:rPr>
      <w:rFonts w:ascii="Times New Roman" w:hAnsi="Times New Roman" w:eastAsia="Times New Roman" w:cs="Times New Roman"/>
      <w:b/>
      <w:kern w:val="2"/>
      <w:sz w:val="30"/>
      <w:szCs w:val="28"/>
      <w:lang w:val="en-US" w:eastAsia="zh-CN" w:bidi="ar-SA"/>
    </w:rPr>
  </w:style>
  <w:style w:type="paragraph" w:customStyle="1" w:styleId="200">
    <w:name w:val="二级目录"/>
    <w:next w:val="1"/>
    <w:link w:val="199"/>
    <w:autoRedefine/>
    <w:qFormat/>
    <w:uiPriority w:val="0"/>
    <w:pPr>
      <w:tabs>
        <w:tab w:val="left" w:pos="720"/>
      </w:tabs>
      <w:ind w:left="720" w:hanging="720"/>
      <w:outlineLvl w:val="1"/>
    </w:pPr>
    <w:rPr>
      <w:rFonts w:ascii="Times New Roman" w:hAnsi="Times New Roman" w:eastAsia="Times New Roman" w:cs="Times New Roman"/>
      <w:b/>
      <w:kern w:val="2"/>
      <w:sz w:val="30"/>
      <w:szCs w:val="28"/>
      <w:lang w:val="en-US" w:eastAsia="zh-CN" w:bidi="ar-SA"/>
    </w:rPr>
  </w:style>
  <w:style w:type="character" w:customStyle="1" w:styleId="201">
    <w:name w:val="日期 Char1"/>
    <w:autoRedefine/>
    <w:qFormat/>
    <w:uiPriority w:val="0"/>
    <w:rPr>
      <w:rFonts w:ascii="Times New Roman" w:hAnsi="Times New Roman" w:eastAsia="宋体" w:cs="Times New Roman"/>
      <w:kern w:val="2"/>
      <w:sz w:val="21"/>
      <w:szCs w:val="24"/>
    </w:rPr>
  </w:style>
  <w:style w:type="character" w:customStyle="1" w:styleId="202">
    <w:name w:val="图表标注 Char"/>
    <w:link w:val="203"/>
    <w:autoRedefine/>
    <w:qFormat/>
    <w:uiPriority w:val="0"/>
    <w:rPr>
      <w:rFonts w:ascii="Times New Roman" w:hAnsi="Times New Roman" w:eastAsia="宋体" w:cs="Times New Roman"/>
      <w:kern w:val="2"/>
      <w:sz w:val="21"/>
      <w:szCs w:val="24"/>
      <w:lang w:bidi="ar-SA"/>
    </w:rPr>
  </w:style>
  <w:style w:type="paragraph" w:customStyle="1" w:styleId="203">
    <w:name w:val="图表标注"/>
    <w:basedOn w:val="1"/>
    <w:link w:val="202"/>
    <w:autoRedefine/>
    <w:qFormat/>
    <w:uiPriority w:val="0"/>
    <w:pPr>
      <w:jc w:val="center"/>
    </w:pPr>
    <w:rPr>
      <w:sz w:val="21"/>
    </w:rPr>
  </w:style>
  <w:style w:type="character" w:customStyle="1" w:styleId="204">
    <w:name w:val="标题4 Char3"/>
    <w:autoRedefine/>
    <w:qFormat/>
    <w:uiPriority w:val="0"/>
    <w:rPr>
      <w:rFonts w:ascii="Times New Roman" w:hAnsi="Times New Roman" w:eastAsia="宋体" w:cs="Times New Roman"/>
      <w:sz w:val="24"/>
      <w:szCs w:val="24"/>
      <w:lang w:val="en-US" w:eastAsia="zh-CN" w:bidi="ar-SA"/>
    </w:rPr>
  </w:style>
  <w:style w:type="character" w:customStyle="1" w:styleId="205">
    <w:name w:val="Normal Indent Char"/>
    <w:autoRedefine/>
    <w:qFormat/>
    <w:uiPriority w:val="0"/>
    <w:rPr>
      <w:rFonts w:ascii="Times New Roman" w:hAnsi="Times New Roman" w:eastAsia="宋体" w:cs="Times New Roman"/>
      <w:kern w:val="2"/>
      <w:sz w:val="24"/>
      <w:szCs w:val="24"/>
      <w:lang w:val="en-US" w:eastAsia="zh-CN" w:bidi="ar-SA"/>
    </w:rPr>
  </w:style>
  <w:style w:type="character" w:customStyle="1" w:styleId="206">
    <w:name w:val="图 Char Char"/>
    <w:link w:val="207"/>
    <w:autoRedefine/>
    <w:qFormat/>
    <w:uiPriority w:val="0"/>
    <w:rPr>
      <w:rFonts w:ascii="Times New Roman" w:hAnsi="Times New Roman" w:eastAsia="宋体" w:cs="Times New Roman"/>
      <w:sz w:val="24"/>
      <w:lang w:bidi="ar-SA"/>
    </w:rPr>
  </w:style>
  <w:style w:type="paragraph" w:customStyle="1" w:styleId="207">
    <w:name w:val="图"/>
    <w:basedOn w:val="1"/>
    <w:next w:val="1"/>
    <w:link w:val="206"/>
    <w:autoRedefine/>
    <w:qFormat/>
    <w:uiPriority w:val="0"/>
    <w:pPr>
      <w:spacing w:before="312" w:beforeLines="100" w:after="312" w:afterLines="100"/>
      <w:ind w:firstLine="400"/>
      <w:jc w:val="center"/>
    </w:pPr>
    <w:rPr>
      <w:kern w:val="0"/>
      <w:szCs w:val="20"/>
    </w:rPr>
  </w:style>
  <w:style w:type="character" w:customStyle="1" w:styleId="208">
    <w:name w:val="Table Text Char1"/>
    <w:link w:val="209"/>
    <w:autoRedefine/>
    <w:qFormat/>
    <w:uiPriority w:val="0"/>
    <w:rPr>
      <w:rFonts w:ascii="Times New Roman" w:hAnsi="Times New Roman" w:eastAsia="宋体" w:cs="Arial"/>
      <w:snapToGrid w:val="0"/>
      <w:sz w:val="21"/>
      <w:szCs w:val="21"/>
      <w:lang w:val="en-US" w:eastAsia="zh-CN" w:bidi="ar-SA"/>
    </w:rPr>
  </w:style>
  <w:style w:type="paragraph" w:customStyle="1" w:styleId="209">
    <w:name w:val="Table Text"/>
    <w:basedOn w:val="1"/>
    <w:link w:val="208"/>
    <w:autoRedefine/>
    <w:qFormat/>
    <w:uiPriority w:val="0"/>
    <w:pPr>
      <w:topLinePunct/>
      <w:adjustRightInd w:val="0"/>
      <w:snapToGrid w:val="0"/>
      <w:spacing w:before="80" w:after="80" w:line="240" w:lineRule="atLeast"/>
      <w:jc w:val="left"/>
    </w:pPr>
    <w:rPr>
      <w:rFonts w:cs="Arial"/>
      <w:snapToGrid w:val="0"/>
      <w:kern w:val="0"/>
      <w:sz w:val="21"/>
      <w:szCs w:val="21"/>
    </w:rPr>
  </w:style>
  <w:style w:type="character" w:customStyle="1" w:styleId="210">
    <w:name w:val="标题 4 Char1"/>
    <w:autoRedefine/>
    <w:qFormat/>
    <w:uiPriority w:val="0"/>
    <w:rPr>
      <w:rFonts w:ascii="Arial" w:hAnsi="Arial" w:eastAsia="黑体" w:cs="Times New Roman"/>
      <w:b/>
      <w:kern w:val="2"/>
      <w:sz w:val="28"/>
    </w:rPr>
  </w:style>
  <w:style w:type="character" w:customStyle="1" w:styleId="211">
    <w:name w:val="Char Char12"/>
    <w:autoRedefine/>
    <w:qFormat/>
    <w:uiPriority w:val="0"/>
    <w:rPr>
      <w:rFonts w:ascii="Times New Roman" w:hAnsi="Times New Roman" w:eastAsia="宋体" w:cs="Times New Roman"/>
      <w:sz w:val="18"/>
    </w:rPr>
  </w:style>
  <w:style w:type="character" w:customStyle="1" w:styleId="212">
    <w:name w:val="宝应4 Char Char"/>
    <w:link w:val="213"/>
    <w:autoRedefine/>
    <w:qFormat/>
    <w:uiPriority w:val="0"/>
    <w:rPr>
      <w:rFonts w:ascii="楷体_GB2312" w:hAnsi="Calibri Light" w:eastAsia="楷体_GB2312" w:cs="Times New Roman"/>
      <w:b/>
      <w:kern w:val="2"/>
      <w:sz w:val="21"/>
      <w:lang w:val="zh-CN" w:eastAsia="zh-CN" w:bidi="ar-SA"/>
    </w:rPr>
  </w:style>
  <w:style w:type="paragraph" w:customStyle="1" w:styleId="213">
    <w:name w:val="宝应4"/>
    <w:basedOn w:val="5"/>
    <w:next w:val="175"/>
    <w:link w:val="212"/>
    <w:autoRedefine/>
    <w:qFormat/>
    <w:uiPriority w:val="0"/>
    <w:pPr>
      <w:autoSpaceDE w:val="0"/>
      <w:autoSpaceDN w:val="0"/>
      <w:adjustRightInd w:val="0"/>
      <w:spacing w:line="380" w:lineRule="exact"/>
      <w:ind w:firstLine="420"/>
    </w:pPr>
    <w:rPr>
      <w:rFonts w:ascii="楷体_GB2312" w:hAnsi="Calibri Light" w:eastAsia="楷体_GB2312"/>
      <w:bCs w:val="0"/>
      <w:sz w:val="21"/>
      <w:szCs w:val="20"/>
      <w:lang w:val="zh-CN"/>
    </w:rPr>
  </w:style>
  <w:style w:type="character" w:customStyle="1" w:styleId="214">
    <w:name w:val="Char Char32"/>
    <w:autoRedefine/>
    <w:qFormat/>
    <w:uiPriority w:val="0"/>
    <w:rPr>
      <w:rFonts w:ascii="Arial" w:hAnsi="Arial" w:eastAsia="黑体" w:cs="Arial"/>
      <w:b/>
      <w:bCs/>
      <w:kern w:val="2"/>
      <w:sz w:val="28"/>
      <w:szCs w:val="28"/>
    </w:rPr>
  </w:style>
  <w:style w:type="character" w:customStyle="1" w:styleId="215">
    <w:name w:val="apple-style-span"/>
    <w:autoRedefine/>
    <w:qFormat/>
    <w:uiPriority w:val="0"/>
    <w:rPr>
      <w:rFonts w:ascii="Times New Roman" w:hAnsi="Times New Roman" w:eastAsia="宋体" w:cs="Times New Roman"/>
    </w:rPr>
  </w:style>
  <w:style w:type="character" w:customStyle="1" w:styleId="216">
    <w:name w:val="标题 31"/>
    <w:autoRedefine/>
    <w:qFormat/>
    <w:uiPriority w:val="0"/>
    <w:rPr>
      <w:rFonts w:ascii="Times New Roman" w:hAnsi="Times New Roman" w:eastAsia="宋体" w:cs="Times New Roman"/>
      <w:b/>
      <w:bCs/>
      <w:kern w:val="2"/>
      <w:sz w:val="32"/>
      <w:szCs w:val="32"/>
      <w:lang w:val="en-US" w:eastAsia="zh-CN" w:bidi="ar-SA"/>
    </w:rPr>
  </w:style>
  <w:style w:type="character" w:customStyle="1" w:styleId="217">
    <w:name w:val="font5 Char Char"/>
    <w:autoRedefine/>
    <w:qFormat/>
    <w:uiPriority w:val="0"/>
    <w:rPr>
      <w:rFonts w:ascii="宋体" w:hAnsi="宋体" w:eastAsia="宋体" w:cs="Times New Roman"/>
      <w:sz w:val="28"/>
      <w:szCs w:val="28"/>
      <w:lang w:val="en-US" w:eastAsia="zh-CN" w:bidi="ar-SA"/>
    </w:rPr>
  </w:style>
  <w:style w:type="character" w:customStyle="1" w:styleId="218">
    <w:name w:val="标题一 Char Char"/>
    <w:link w:val="219"/>
    <w:autoRedefine/>
    <w:qFormat/>
    <w:uiPriority w:val="0"/>
    <w:rPr>
      <w:rFonts w:ascii="楷体_GB2312" w:hAnsi="Times New Roman" w:eastAsia="楷体_GB2312" w:cs="Times New Roman"/>
      <w:b/>
      <w:color w:val="FF0000"/>
      <w:kern w:val="2"/>
      <w:sz w:val="32"/>
      <w:lang w:val="zh-CN" w:eastAsia="zh-CN" w:bidi="ar-SA"/>
    </w:rPr>
  </w:style>
  <w:style w:type="paragraph" w:customStyle="1" w:styleId="219">
    <w:name w:val="标题一"/>
    <w:basedOn w:val="1"/>
    <w:link w:val="218"/>
    <w:autoRedefine/>
    <w:qFormat/>
    <w:uiPriority w:val="0"/>
    <w:pPr>
      <w:numPr>
        <w:ilvl w:val="0"/>
        <w:numId w:val="5"/>
      </w:numPr>
      <w:autoSpaceDE w:val="0"/>
      <w:autoSpaceDN w:val="0"/>
      <w:adjustRightInd w:val="0"/>
      <w:spacing w:line="380" w:lineRule="exact"/>
      <w:jc w:val="center"/>
    </w:pPr>
    <w:rPr>
      <w:rFonts w:ascii="楷体_GB2312" w:eastAsia="楷体_GB2312"/>
      <w:b/>
      <w:color w:val="FF0000"/>
      <w:sz w:val="32"/>
      <w:szCs w:val="20"/>
      <w:lang w:val="zh-CN"/>
    </w:rPr>
  </w:style>
  <w:style w:type="character" w:customStyle="1" w:styleId="220">
    <w:name w:val="A4"/>
    <w:autoRedefine/>
    <w:qFormat/>
    <w:uiPriority w:val="0"/>
    <w:rPr>
      <w:rFonts w:hint="eastAsia" w:ascii="新宋体" w:hAnsi="新宋体" w:eastAsia="新宋体" w:cs="新宋体"/>
      <w:color w:val="000000"/>
    </w:rPr>
  </w:style>
  <w:style w:type="character" w:customStyle="1" w:styleId="221">
    <w:name w:val="hover14"/>
    <w:autoRedefine/>
    <w:qFormat/>
    <w:uiPriority w:val="0"/>
    <w:rPr>
      <w:rFonts w:ascii="Times New Roman" w:hAnsi="Times New Roman" w:eastAsia="宋体" w:cs="Times New Roman"/>
      <w:shd w:val="clear" w:color="auto" w:fill="DFDFDF"/>
    </w:rPr>
  </w:style>
  <w:style w:type="character" w:customStyle="1" w:styleId="222">
    <w:name w:val="正文文本缩进 3 Char1"/>
    <w:autoRedefine/>
    <w:qFormat/>
    <w:uiPriority w:val="0"/>
    <w:rPr>
      <w:rFonts w:ascii="Times New Roman" w:hAnsi="Times New Roman" w:eastAsia="宋体" w:cs="Times New Roman"/>
      <w:kern w:val="2"/>
      <w:sz w:val="16"/>
      <w:szCs w:val="16"/>
    </w:rPr>
  </w:style>
  <w:style w:type="character" w:customStyle="1" w:styleId="223">
    <w:name w:val="NICMAN Body Text Char Char"/>
    <w:autoRedefine/>
    <w:qFormat/>
    <w:uiPriority w:val="0"/>
    <w:rPr>
      <w:rFonts w:ascii="方正大黑简体" w:hAnsi="Times New Roman" w:eastAsia="方正大黑简体" w:cs="Times New Roman"/>
      <w:kern w:val="44"/>
      <w:position w:val="6"/>
      <w:sz w:val="30"/>
    </w:rPr>
  </w:style>
  <w:style w:type="character" w:customStyle="1" w:styleId="224">
    <w:name w:val="Char Char Char Char Char Char"/>
    <w:autoRedefine/>
    <w:qFormat/>
    <w:uiPriority w:val="0"/>
    <w:rPr>
      <w:rFonts w:ascii="宋体" w:hAnsi="Courier New" w:eastAsia="宋体" w:cs="Courier New"/>
      <w:kern w:val="2"/>
      <w:sz w:val="21"/>
      <w:szCs w:val="21"/>
      <w:lang w:val="en-US" w:eastAsia="zh-CN" w:bidi="ar-SA"/>
    </w:rPr>
  </w:style>
  <w:style w:type="character" w:customStyle="1" w:styleId="225">
    <w:name w:val="Char Char9"/>
    <w:autoRedefine/>
    <w:qFormat/>
    <w:uiPriority w:val="0"/>
    <w:rPr>
      <w:rFonts w:ascii="Times New Roman" w:hAnsi="Times New Roman" w:eastAsia="宋体" w:cs="Times New Roman"/>
      <w:b/>
      <w:bCs/>
      <w:sz w:val="32"/>
      <w:szCs w:val="32"/>
      <w:lang w:bidi="ar-SA"/>
    </w:rPr>
  </w:style>
  <w:style w:type="paragraph" w:customStyle="1" w:styleId="226">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227">
    <w:name w:val="dt"/>
    <w:basedOn w:val="1"/>
    <w:autoRedefine/>
    <w:qFormat/>
    <w:uiPriority w:val="0"/>
    <w:pPr>
      <w:pBdr>
        <w:top w:val="single" w:color="FFFFFF" w:sz="6" w:space="0"/>
        <w:left w:val="single" w:color="FFFFFF" w:sz="6" w:space="0"/>
        <w:bottom w:val="single" w:color="FFFFFF" w:sz="6" w:space="0"/>
        <w:right w:val="single" w:color="FFFFFF" w:sz="6" w:space="0"/>
      </w:pBdr>
      <w:spacing w:line="720" w:lineRule="atLeast"/>
      <w:ind w:right="75"/>
      <w:jc w:val="center"/>
    </w:pPr>
    <w:rPr>
      <w:rFonts w:ascii="Arial" w:hAnsi="Arial"/>
      <w:color w:val="CCCCCC"/>
      <w:kern w:val="0"/>
      <w:sz w:val="54"/>
      <w:szCs w:val="54"/>
    </w:rPr>
  </w:style>
  <w:style w:type="paragraph" w:customStyle="1" w:styleId="228">
    <w:name w:val="项目符号A"/>
    <w:basedOn w:val="1"/>
    <w:autoRedefine/>
    <w:qFormat/>
    <w:uiPriority w:val="0"/>
    <w:pPr>
      <w:ind w:left="567"/>
    </w:pPr>
    <w:rPr>
      <w:rFonts w:ascii="宋体" w:hAnsi="宋体"/>
      <w:szCs w:val="20"/>
    </w:rPr>
  </w:style>
  <w:style w:type="paragraph" w:customStyle="1" w:styleId="229">
    <w:name w:val="_Style 81"/>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30">
    <w:name w:val="列表内容"/>
    <w:basedOn w:val="1"/>
    <w:next w:val="1"/>
    <w:autoRedefine/>
    <w:qFormat/>
    <w:uiPriority w:val="0"/>
    <w:pPr>
      <w:widowControl/>
      <w:ind w:firstLine="200"/>
    </w:pPr>
    <w:rPr>
      <w:kern w:val="0"/>
      <w:sz w:val="18"/>
      <w:szCs w:val="20"/>
    </w:rPr>
  </w:style>
  <w:style w:type="paragraph" w:customStyle="1" w:styleId="231">
    <w:name w:val="图标"/>
    <w:basedOn w:val="1"/>
    <w:next w:val="1"/>
    <w:autoRedefine/>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Cs w:val="20"/>
    </w:rPr>
  </w:style>
  <w:style w:type="paragraph" w:customStyle="1" w:styleId="232">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233">
    <w:name w:val="APCNormal"/>
    <w:autoRedefine/>
    <w:qFormat/>
    <w:uiPriority w:val="0"/>
    <w:pPr>
      <w:spacing w:before="120" w:after="160"/>
      <w:jc w:val="both"/>
    </w:pPr>
    <w:rPr>
      <w:rFonts w:ascii="Univers" w:hAnsi="Univers" w:eastAsia="宋体" w:cs="Times New Roman"/>
      <w:color w:val="000000"/>
      <w:lang w:val="en-US" w:eastAsia="en-US" w:bidi="ar-SA"/>
    </w:rPr>
  </w:style>
  <w:style w:type="paragraph" w:customStyle="1" w:styleId="234">
    <w:name w:val="table_1stline"/>
    <w:basedOn w:val="1"/>
    <w:autoRedefine/>
    <w:qFormat/>
    <w:uiPriority w:val="0"/>
    <w:pPr>
      <w:widowControl/>
      <w:spacing w:before="120"/>
      <w:jc w:val="left"/>
    </w:pPr>
    <w:rPr>
      <w:bCs/>
      <w:kern w:val="0"/>
      <w:sz w:val="20"/>
      <w:szCs w:val="20"/>
      <w:lang w:val="de-DE" w:eastAsia="de-DE"/>
    </w:rPr>
  </w:style>
  <w:style w:type="paragraph" w:customStyle="1" w:styleId="235">
    <w:name w:val="font10"/>
    <w:basedOn w:val="1"/>
    <w:autoRedefine/>
    <w:qFormat/>
    <w:uiPriority w:val="0"/>
    <w:pPr>
      <w:widowControl/>
      <w:spacing w:before="100" w:beforeAutospacing="1" w:after="100" w:afterAutospacing="1"/>
      <w:jc w:val="left"/>
    </w:pPr>
    <w:rPr>
      <w:rFonts w:hint="eastAsia" w:ascii="楷体_GB2312" w:hAnsi="宋体" w:eastAsia="楷体_GB2312"/>
      <w:b/>
      <w:bCs/>
      <w:kern w:val="0"/>
      <w:sz w:val="18"/>
      <w:szCs w:val="18"/>
    </w:rPr>
  </w:style>
  <w:style w:type="paragraph" w:customStyle="1" w:styleId="236">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kern w:val="0"/>
      <w:szCs w:val="20"/>
    </w:rPr>
  </w:style>
  <w:style w:type="paragraph" w:customStyle="1" w:styleId="237">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pPr>
    <w:rPr>
      <w:rFonts w:hint="eastAsia" w:ascii="宋体" w:hAnsi="宋体"/>
      <w:b/>
      <w:kern w:val="0"/>
      <w:sz w:val="28"/>
      <w:szCs w:val="20"/>
    </w:rPr>
  </w:style>
  <w:style w:type="paragraph" w:customStyle="1" w:styleId="238">
    <w:name w:val="Plain Text*"/>
    <w:basedOn w:val="1"/>
    <w:autoRedefine/>
    <w:qFormat/>
    <w:uiPriority w:val="0"/>
    <w:pPr>
      <w:widowControl/>
      <w:jc w:val="left"/>
    </w:pPr>
    <w:rPr>
      <w:rFonts w:ascii="宋体" w:hAnsi="宋体" w:eastAsia="楷体_GB2312" w:cs="Courier New"/>
      <w:color w:val="000000"/>
      <w:kern w:val="0"/>
      <w:sz w:val="26"/>
      <w:szCs w:val="22"/>
    </w:rPr>
  </w:style>
  <w:style w:type="paragraph" w:customStyle="1" w:styleId="239">
    <w:name w:val="Body"/>
    <w:autoRedefine/>
    <w:qFormat/>
    <w:uiPriority w:val="0"/>
    <w:pPr>
      <w:spacing w:before="130" w:after="130" w:line="260" w:lineRule="exact"/>
    </w:pPr>
    <w:rPr>
      <w:rFonts w:ascii="Univers" w:hAnsi="Univers" w:eastAsia="宋体" w:cs="Times New Roman"/>
      <w:color w:val="000000"/>
      <w:sz w:val="22"/>
      <w:lang w:val="en-US" w:eastAsia="en-US" w:bidi="ar-SA"/>
    </w:rPr>
  </w:style>
  <w:style w:type="paragraph" w:customStyle="1" w:styleId="24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Cs w:val="20"/>
    </w:rPr>
  </w:style>
  <w:style w:type="paragraph" w:customStyle="1" w:styleId="241">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42">
    <w:name w:val="Char Char Char Char"/>
    <w:basedOn w:val="14"/>
    <w:autoRedefine/>
    <w:qFormat/>
    <w:uiPriority w:val="0"/>
    <w:pPr>
      <w:adjustRightInd w:val="0"/>
      <w:snapToGrid w:val="0"/>
    </w:pPr>
    <w:rPr>
      <w:rFonts w:ascii="Tahoma" w:hAnsi="Tahoma"/>
      <w:sz w:val="24"/>
      <w:szCs w:val="24"/>
    </w:rPr>
  </w:style>
  <w:style w:type="paragraph" w:customStyle="1" w:styleId="243">
    <w:name w:val="默认段落字体 Para Char Char Char Char"/>
    <w:basedOn w:val="1"/>
    <w:autoRedefine/>
    <w:qFormat/>
    <w:uiPriority w:val="0"/>
  </w:style>
  <w:style w:type="paragraph" w:customStyle="1" w:styleId="244">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245">
    <w:name w:val="默认段落字体 Para Char Char Char Char Char Char Char Char Char Char Char Char Char"/>
    <w:basedOn w:val="1"/>
    <w:autoRedefine/>
    <w:qFormat/>
    <w:uiPriority w:val="0"/>
  </w:style>
  <w:style w:type="paragraph" w:customStyle="1" w:styleId="246">
    <w:name w:val="APCSubhead"/>
    <w:basedOn w:val="233"/>
    <w:autoRedefine/>
    <w:qFormat/>
    <w:uiPriority w:val="0"/>
    <w:pPr>
      <w:spacing w:before="240" w:after="60"/>
    </w:pPr>
    <w:rPr>
      <w:rFonts w:ascii="Times New Roman" w:hAnsi="Times New Roman"/>
      <w:b/>
      <w:bCs/>
    </w:rPr>
  </w:style>
  <w:style w:type="paragraph" w:customStyle="1" w:styleId="247">
    <w:name w:val="附录1"/>
    <w:autoRedefine/>
    <w:qFormat/>
    <w:uiPriority w:val="0"/>
    <w:pPr>
      <w:numPr>
        <w:ilvl w:val="0"/>
        <w:numId w:val="6"/>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248">
    <w:name w:val="cntrt"/>
    <w:basedOn w:val="1"/>
    <w:autoRedefine/>
    <w:qFormat/>
    <w:uiPriority w:val="0"/>
    <w:pPr>
      <w:widowControl/>
    </w:pPr>
    <w:rPr>
      <w:rFonts w:ascii="Arial" w:hAnsi="Arial"/>
      <w:kern w:val="0"/>
      <w:sz w:val="20"/>
      <w:szCs w:val="20"/>
      <w:lang w:val="en-AU"/>
    </w:rPr>
  </w:style>
  <w:style w:type="paragraph" w:customStyle="1" w:styleId="249">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50">
    <w:name w:val="font14"/>
    <w:basedOn w:val="1"/>
    <w:autoRedefine/>
    <w:qFormat/>
    <w:uiPriority w:val="0"/>
    <w:pPr>
      <w:widowControl/>
      <w:spacing w:before="100" w:beforeAutospacing="1" w:after="100" w:afterAutospacing="1"/>
      <w:jc w:val="left"/>
    </w:pPr>
    <w:rPr>
      <w:kern w:val="0"/>
      <w:sz w:val="36"/>
      <w:szCs w:val="36"/>
    </w:rPr>
  </w:style>
  <w:style w:type="paragraph" w:customStyle="1" w:styleId="251">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EAAAA"/>
      <w:spacing w:before="100" w:beforeAutospacing="1" w:after="100" w:afterAutospacing="1"/>
      <w:jc w:val="left"/>
    </w:pPr>
    <w:rPr>
      <w:rFonts w:ascii="微软雅黑 Light" w:hAnsi="微软雅黑 Light" w:eastAsia="微软雅黑 Light" w:cs="宋体"/>
      <w:b/>
      <w:bCs/>
      <w:color w:val="FFFFFF"/>
      <w:kern w:val="0"/>
      <w:sz w:val="20"/>
      <w:szCs w:val="20"/>
    </w:rPr>
  </w:style>
  <w:style w:type="paragraph" w:customStyle="1" w:styleId="25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rPr>
  </w:style>
  <w:style w:type="paragraph" w:customStyle="1" w:styleId="253">
    <w:name w:val="样式5"/>
    <w:basedOn w:val="1"/>
    <w:autoRedefine/>
    <w:qFormat/>
    <w:uiPriority w:val="0"/>
    <w:rPr>
      <w:rFonts w:ascii="宋体" w:cs="宋体"/>
    </w:rPr>
  </w:style>
  <w:style w:type="paragraph" w:customStyle="1" w:styleId="254">
    <w:name w:val="xl74"/>
    <w:basedOn w:val="1"/>
    <w:autoRedefine/>
    <w:qFormat/>
    <w:uiPriority w:val="0"/>
    <w:pPr>
      <w:widowControl/>
      <w:pBdr>
        <w:top w:val="single" w:color="auto" w:sz="4" w:space="0"/>
        <w:bottom w:val="single" w:color="auto" w:sz="4" w:space="0"/>
        <w:right w:val="single" w:color="auto" w:sz="4" w:space="0"/>
      </w:pBdr>
      <w:shd w:val="clear" w:color="auto" w:fill="FFFF99"/>
      <w:spacing w:before="100" w:beforeAutospacing="1" w:after="100" w:afterAutospacing="1"/>
    </w:pPr>
    <w:rPr>
      <w:rFonts w:hint="eastAsia" w:ascii="宋体" w:hAnsi="宋体"/>
      <w:b/>
      <w:kern w:val="0"/>
      <w:sz w:val="28"/>
      <w:szCs w:val="20"/>
    </w:rPr>
  </w:style>
  <w:style w:type="paragraph" w:customStyle="1" w:styleId="255">
    <w:name w:val="Char3"/>
    <w:basedOn w:val="14"/>
    <w:autoRedefine/>
    <w:qFormat/>
    <w:uiPriority w:val="0"/>
    <w:pPr>
      <w:adjustRightInd w:val="0"/>
      <w:snapToGrid w:val="0"/>
    </w:pPr>
    <w:rPr>
      <w:rFonts w:ascii="Tahoma" w:hAnsi="Tahoma"/>
      <w:sz w:val="24"/>
      <w:szCs w:val="24"/>
    </w:rPr>
  </w:style>
  <w:style w:type="paragraph" w:customStyle="1" w:styleId="256">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57">
    <w:name w:val="font8"/>
    <w:basedOn w:val="1"/>
    <w:autoRedefine/>
    <w:qFormat/>
    <w:uiPriority w:val="0"/>
    <w:pPr>
      <w:widowControl/>
      <w:spacing w:before="100" w:beforeAutospacing="1" w:after="100" w:afterAutospacing="1"/>
    </w:pPr>
    <w:rPr>
      <w:b/>
      <w:kern w:val="0"/>
      <w:sz w:val="28"/>
      <w:szCs w:val="20"/>
    </w:rPr>
  </w:style>
  <w:style w:type="paragraph" w:customStyle="1" w:styleId="258">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Cs w:val="20"/>
    </w:rPr>
  </w:style>
  <w:style w:type="paragraph" w:customStyle="1" w:styleId="259">
    <w:name w:val="Char"/>
    <w:basedOn w:val="14"/>
    <w:autoRedefine/>
    <w:qFormat/>
    <w:uiPriority w:val="0"/>
    <w:rPr>
      <w:rFonts w:ascii="Tahoma" w:hAnsi="Tahoma"/>
      <w:sz w:val="24"/>
      <w:szCs w:val="24"/>
    </w:rPr>
  </w:style>
  <w:style w:type="paragraph" w:customStyle="1" w:styleId="260">
    <w:name w:val="Char Char Char1 Char Char Char Char Char Char Char Char Char Char Char Char Char Char Char Char Char Char Char"/>
    <w:basedOn w:val="1"/>
    <w:autoRedefine/>
    <w:qFormat/>
    <w:uiPriority w:val="0"/>
  </w:style>
  <w:style w:type="paragraph" w:customStyle="1" w:styleId="26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Light" w:hAnsi="微软雅黑 Light" w:eastAsia="微软雅黑 Light" w:cs="宋体"/>
      <w:color w:val="000000"/>
      <w:kern w:val="0"/>
      <w:sz w:val="20"/>
      <w:szCs w:val="20"/>
    </w:rPr>
  </w:style>
  <w:style w:type="paragraph" w:customStyle="1" w:styleId="262">
    <w:name w:val="表格文字"/>
    <w:basedOn w:val="1"/>
    <w:autoRedefine/>
    <w:qFormat/>
    <w:uiPriority w:val="0"/>
    <w:pPr>
      <w:adjustRightInd w:val="0"/>
      <w:snapToGrid w:val="0"/>
      <w:spacing w:line="360" w:lineRule="exact"/>
      <w:jc w:val="left"/>
    </w:pPr>
    <w:rPr>
      <w:szCs w:val="20"/>
    </w:rPr>
  </w:style>
  <w:style w:type="paragraph" w:customStyle="1" w:styleId="263">
    <w:name w:val="dd"/>
    <w:basedOn w:val="1"/>
    <w:autoRedefine/>
    <w:qFormat/>
    <w:uiPriority w:val="0"/>
    <w:pPr>
      <w:jc w:val="left"/>
    </w:pPr>
    <w:rPr>
      <w:kern w:val="0"/>
    </w:rPr>
  </w:style>
  <w:style w:type="paragraph" w:customStyle="1" w:styleId="264">
    <w:name w:val="xl6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265">
    <w:name w:val="Char1"/>
    <w:basedOn w:val="1"/>
    <w:autoRedefine/>
    <w:qFormat/>
    <w:uiPriority w:val="0"/>
    <w:rPr>
      <w:szCs w:val="20"/>
    </w:rPr>
  </w:style>
  <w:style w:type="paragraph" w:customStyle="1" w:styleId="266">
    <w:name w:val="标题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267">
    <w:name w:val="默认"/>
    <w:autoRedefine/>
    <w:qFormat/>
    <w:uiPriority w:val="0"/>
    <w:pPr>
      <w:framePr w:wrap="around" w:vAnchor="margin" w:hAnchor="text" w:y="1"/>
    </w:pPr>
    <w:rPr>
      <w:rFonts w:hint="eastAsia" w:ascii="Arial Unicode MS" w:hAnsi="Arial Unicode MS" w:eastAsia="Helvetica Neue" w:cs="Arial Unicode MS"/>
      <w:color w:val="000000"/>
      <w:sz w:val="22"/>
      <w:szCs w:val="22"/>
      <w:lang w:val="zh-TW" w:eastAsia="zh-TW" w:bidi="ar-SA"/>
    </w:rPr>
  </w:style>
  <w:style w:type="paragraph" w:customStyle="1" w:styleId="268">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olor w:val="000000"/>
      <w:kern w:val="0"/>
      <w:szCs w:val="20"/>
    </w:rPr>
  </w:style>
  <w:style w:type="paragraph" w:customStyle="1" w:styleId="269">
    <w:name w:val="xl4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pPr>
    <w:rPr>
      <w:b/>
      <w:color w:val="000000"/>
      <w:kern w:val="0"/>
      <w:szCs w:val="20"/>
    </w:rPr>
  </w:style>
  <w:style w:type="paragraph" w:customStyle="1" w:styleId="270">
    <w:name w:val="Item Step in Table"/>
    <w:autoRedefine/>
    <w:qFormat/>
    <w:uiPriority w:val="0"/>
    <w:pPr>
      <w:tabs>
        <w:tab w:val="left" w:pos="397"/>
      </w:tabs>
      <w:spacing w:before="40" w:after="40"/>
      <w:ind w:left="907" w:hanging="907"/>
      <w:jc w:val="both"/>
    </w:pPr>
    <w:rPr>
      <w:rFonts w:ascii="Arial" w:hAnsi="Arial" w:eastAsia="宋体" w:cs="Arial"/>
      <w:sz w:val="18"/>
      <w:szCs w:val="18"/>
      <w:lang w:val="en-US" w:eastAsia="zh-CN" w:bidi="ar-SA"/>
    </w:rPr>
  </w:style>
  <w:style w:type="paragraph" w:customStyle="1" w:styleId="271">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pPr>
    <w:rPr>
      <w:rFonts w:hint="eastAsia" w:ascii="宋体" w:hAnsi="宋体"/>
      <w:kern w:val="0"/>
      <w:szCs w:val="20"/>
    </w:rPr>
  </w:style>
  <w:style w:type="paragraph" w:customStyle="1" w:styleId="272">
    <w:name w:val="正文文字缩进 3"/>
    <w:basedOn w:val="1"/>
    <w:autoRedefine/>
    <w:qFormat/>
    <w:uiPriority w:val="0"/>
    <w:pPr>
      <w:widowControl/>
      <w:spacing w:line="1354" w:lineRule="atLeast"/>
      <w:ind w:firstLine="538"/>
      <w:textAlignment w:val="baseline"/>
    </w:pPr>
    <w:rPr>
      <w:rFonts w:ascii="宋体"/>
      <w:color w:val="000000"/>
      <w:kern w:val="0"/>
      <w:szCs w:val="20"/>
    </w:rPr>
  </w:style>
  <w:style w:type="paragraph" w:customStyle="1" w:styleId="27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4">
    <w:name w:val="xl29"/>
    <w:basedOn w:val="1"/>
    <w:autoRedefine/>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rPr>
  </w:style>
  <w:style w:type="paragraph" w:customStyle="1" w:styleId="275">
    <w:name w:val="p15 paragraphindent"/>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6">
    <w:name w:val="xl22"/>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277">
    <w:name w:val="font12"/>
    <w:basedOn w:val="1"/>
    <w:autoRedefine/>
    <w:qFormat/>
    <w:uiPriority w:val="0"/>
    <w:pPr>
      <w:widowControl/>
      <w:spacing w:before="100" w:beforeAutospacing="1" w:after="100" w:afterAutospacing="1"/>
      <w:jc w:val="left"/>
    </w:pPr>
    <w:rPr>
      <w:rFonts w:hint="eastAsia" w:ascii="宋体" w:hAnsi="宋体"/>
      <w:kern w:val="0"/>
      <w:sz w:val="36"/>
      <w:szCs w:val="36"/>
    </w:rPr>
  </w:style>
  <w:style w:type="paragraph" w:customStyle="1" w:styleId="278">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Cs w:val="20"/>
    </w:rPr>
  </w:style>
  <w:style w:type="paragraph" w:customStyle="1" w:styleId="279">
    <w:name w:val="格式2"/>
    <w:autoRedefine/>
    <w:qFormat/>
    <w:uiPriority w:val="0"/>
    <w:pPr>
      <w:widowControl w:val="0"/>
      <w:adjustRightInd w:val="0"/>
      <w:snapToGrid w:val="0"/>
      <w:spacing w:before="50" w:line="440" w:lineRule="exact"/>
      <w:jc w:val="both"/>
    </w:pPr>
    <w:rPr>
      <w:rFonts w:ascii="Times New Roman" w:hAnsi="Times New Roman" w:eastAsia="宋体" w:cs="Times New Roman"/>
      <w:sz w:val="24"/>
      <w:lang w:val="en-US" w:eastAsia="zh-CN" w:bidi="ar-SA"/>
    </w:rPr>
  </w:style>
  <w:style w:type="paragraph" w:customStyle="1" w:styleId="280">
    <w:name w:val="Pa1"/>
    <w:basedOn w:val="67"/>
    <w:next w:val="67"/>
    <w:autoRedefine/>
    <w:qFormat/>
    <w:uiPriority w:val="0"/>
    <w:pPr>
      <w:spacing w:line="241" w:lineRule="atLeast"/>
    </w:pPr>
    <w:rPr>
      <w:rFonts w:ascii="Tahoma" w:hAnsi="Tahoma" w:eastAsia="宋体"/>
      <w:sz w:val="24"/>
      <w:szCs w:val="24"/>
      <w:lang w:eastAsia="zh-CN"/>
    </w:rPr>
  </w:style>
  <w:style w:type="paragraph" w:customStyle="1" w:styleId="281">
    <w:name w:val="正文，首行缩进:"/>
    <w:basedOn w:val="1"/>
    <w:autoRedefine/>
    <w:qFormat/>
    <w:uiPriority w:val="0"/>
    <w:pPr>
      <w:jc w:val="left"/>
    </w:pPr>
    <w:rPr>
      <w:rFonts w:ascii="仿宋_GB2312" w:hAnsi="Arial" w:eastAsia="仿宋_GB2312"/>
      <w:kern w:val="0"/>
      <w:szCs w:val="20"/>
    </w:rPr>
  </w:style>
  <w:style w:type="paragraph" w:styleId="282">
    <w:name w:val="List Paragraph"/>
    <w:basedOn w:val="1"/>
    <w:autoRedefine/>
    <w:qFormat/>
    <w:uiPriority w:val="0"/>
    <w:pPr>
      <w:widowControl/>
      <w:ind w:left="720"/>
      <w:jc w:val="left"/>
    </w:pPr>
    <w:rPr>
      <w:rFonts w:ascii="Calibri" w:hAnsi="Calibri"/>
      <w:kern w:val="0"/>
      <w:lang w:eastAsia="en-US" w:bidi="en-US"/>
    </w:rPr>
  </w:style>
  <w:style w:type="paragraph" w:customStyle="1" w:styleId="283">
    <w:name w:val="a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84">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85">
    <w:name w:val="样式3"/>
    <w:basedOn w:val="10"/>
    <w:next w:val="1"/>
    <w:autoRedefine/>
    <w:qFormat/>
    <w:uiPriority w:val="0"/>
    <w:pPr>
      <w:numPr>
        <w:ilvl w:val="2"/>
        <w:numId w:val="3"/>
      </w:numPr>
      <w:tabs>
        <w:tab w:val="left" w:pos="1680"/>
        <w:tab w:val="left" w:pos="1920"/>
        <w:tab w:val="clear" w:pos="425"/>
      </w:tabs>
      <w:spacing w:line="317" w:lineRule="auto"/>
      <w:jc w:val="left"/>
    </w:pPr>
    <w:rPr>
      <w:rFonts w:ascii="Times New Roman" w:hAnsi="Times New Roman" w:eastAsia="宋体"/>
      <w:b/>
    </w:rPr>
  </w:style>
  <w:style w:type="paragraph" w:customStyle="1" w:styleId="286">
    <w:name w:val="纯文本1"/>
    <w:basedOn w:val="1"/>
    <w:autoRedefine/>
    <w:qFormat/>
    <w:uiPriority w:val="0"/>
    <w:pPr>
      <w:adjustRightInd w:val="0"/>
      <w:textAlignment w:val="baseline"/>
    </w:pPr>
    <w:rPr>
      <w:rFonts w:ascii="宋体" w:hAnsi="Courier New" w:eastAsia="楷体_GB2312"/>
      <w:sz w:val="26"/>
      <w:szCs w:val="20"/>
    </w:rPr>
  </w:style>
  <w:style w:type="paragraph" w:customStyle="1" w:styleId="287">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88">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left"/>
    </w:pPr>
    <w:rPr>
      <w:rFonts w:ascii="微软雅黑" w:hAnsi="微软雅黑" w:eastAsia="微软雅黑" w:cs="宋体"/>
      <w:b/>
      <w:bCs/>
      <w:color w:val="FFFFFF"/>
      <w:kern w:val="0"/>
      <w:sz w:val="20"/>
      <w:szCs w:val="20"/>
    </w:rPr>
  </w:style>
  <w:style w:type="paragraph" w:customStyle="1" w:styleId="289">
    <w:name w:val="正文1"/>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90">
    <w:name w:val="方案正文"/>
    <w:basedOn w:val="7"/>
    <w:autoRedefine/>
    <w:qFormat/>
    <w:uiPriority w:val="0"/>
    <w:pPr>
      <w:ind w:firstLine="200"/>
    </w:pPr>
    <w:rPr>
      <w:sz w:val="24"/>
      <w:szCs w:val="24"/>
    </w:rPr>
  </w:style>
  <w:style w:type="paragraph" w:customStyle="1" w:styleId="291">
    <w:name w:val="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92">
    <w:name w:val="paragraphindent"/>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93">
    <w:name w:val="样式 标题 2市检方案标题2第一层条h22章标题节标题第一章 标题 2Heading 2 HiddenHead..."/>
    <w:basedOn w:val="3"/>
    <w:autoRedefine/>
    <w:qFormat/>
    <w:uiPriority w:val="0"/>
    <w:pPr>
      <w:spacing w:beforeLines="0" w:afterLines="0" w:line="264" w:lineRule="auto"/>
    </w:pPr>
    <w:rPr>
      <w:rFonts w:ascii="楷体_GB2312" w:hAnsi="楷体" w:eastAsia="楷体_GB2312" w:cs="宋体"/>
      <w:bCs w:val="0"/>
      <w:color w:val="000000"/>
      <w:kern w:val="0"/>
      <w:sz w:val="30"/>
      <w:szCs w:val="30"/>
    </w:rPr>
  </w:style>
  <w:style w:type="paragraph" w:customStyle="1" w:styleId="294">
    <w:name w:val="Body Text(ch)"/>
    <w:basedOn w:val="1"/>
    <w:next w:val="18"/>
    <w:autoRedefine/>
    <w:qFormat/>
    <w:uiPriority w:val="0"/>
    <w:pPr>
      <w:spacing w:after="120"/>
    </w:pPr>
    <w:rPr>
      <w:rFonts w:ascii="宋体" w:hAnsi="Arial"/>
      <w:bCs/>
      <w:iCs/>
    </w:rPr>
  </w:style>
  <w:style w:type="paragraph" w:customStyle="1" w:styleId="29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Cs w:val="20"/>
    </w:rPr>
  </w:style>
  <w:style w:type="paragraph" w:customStyle="1" w:styleId="296">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29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Cs w:val="20"/>
    </w:rPr>
  </w:style>
  <w:style w:type="paragraph" w:customStyle="1" w:styleId="298">
    <w:name w:val="_Style 2"/>
    <w:basedOn w:val="1"/>
    <w:autoRedefine/>
    <w:qFormat/>
    <w:uiPriority w:val="0"/>
    <w:pPr>
      <w:ind w:firstLine="420"/>
    </w:pPr>
    <w:rPr>
      <w:rFonts w:ascii="Calibri" w:hAnsi="Calibri"/>
      <w:szCs w:val="22"/>
    </w:rPr>
  </w:style>
  <w:style w:type="paragraph" w:customStyle="1" w:styleId="299">
    <w:name w:val="默认段落字体 Para Char Char Char Char Char Char Char Char Char1 Char Char Char Char Char Char Char"/>
    <w:basedOn w:val="14"/>
    <w:autoRedefine/>
    <w:qFormat/>
    <w:uiPriority w:val="0"/>
    <w:pPr>
      <w:ind w:firstLine="200"/>
    </w:pPr>
    <w:rPr>
      <w:rFonts w:ascii="Tahoma" w:hAnsi="Tahoma"/>
      <w:sz w:val="24"/>
      <w:szCs w:val="24"/>
      <w:shd w:val="clear" w:color="auto" w:fill="000080"/>
    </w:rPr>
  </w:style>
  <w:style w:type="paragraph" w:customStyle="1" w:styleId="300">
    <w:name w:val="font0"/>
    <w:basedOn w:val="1"/>
    <w:autoRedefine/>
    <w:qFormat/>
    <w:uiPriority w:val="0"/>
    <w:pPr>
      <w:widowControl/>
      <w:spacing w:before="100" w:beforeAutospacing="1" w:after="100" w:afterAutospacing="1"/>
    </w:pPr>
    <w:rPr>
      <w:rFonts w:hint="eastAsia" w:ascii="宋体" w:hAnsi="宋体"/>
      <w:kern w:val="0"/>
      <w:szCs w:val="20"/>
    </w:rPr>
  </w:style>
  <w:style w:type="paragraph" w:customStyle="1" w:styleId="301">
    <w:name w:val="_Style 300"/>
    <w:autoRedefine/>
    <w:qFormat/>
    <w:uiPriority w:val="0"/>
    <w:rPr>
      <w:rFonts w:ascii="Times New Roman" w:hAnsi="Times New Roman" w:eastAsia="宋体" w:cs="Times New Roman"/>
      <w:kern w:val="2"/>
      <w:sz w:val="21"/>
      <w:lang w:val="en-US" w:eastAsia="zh-CN" w:bidi="ar-SA"/>
    </w:rPr>
  </w:style>
  <w:style w:type="paragraph" w:customStyle="1" w:styleId="302">
    <w:name w:val="APCHeading 1"/>
    <w:basedOn w:val="1"/>
    <w:next w:val="233"/>
    <w:autoRedefine/>
    <w:qFormat/>
    <w:uiPriority w:val="0"/>
    <w:pPr>
      <w:keepNext/>
      <w:widowControl/>
      <w:spacing w:before="240" w:after="60"/>
      <w:jc w:val="left"/>
      <w:outlineLvl w:val="0"/>
    </w:pPr>
    <w:rPr>
      <w:rFonts w:ascii="Univers Condensed" w:hAnsi="Univers Condensed"/>
      <w:kern w:val="0"/>
      <w:sz w:val="40"/>
      <w:szCs w:val="40"/>
      <w:lang w:eastAsia="en-US"/>
    </w:rPr>
  </w:style>
  <w:style w:type="paragraph" w:customStyle="1" w:styleId="303">
    <w:name w:val="font6"/>
    <w:basedOn w:val="1"/>
    <w:autoRedefine/>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304">
    <w:name w:val="标题3"/>
    <w:basedOn w:val="248"/>
    <w:next w:val="248"/>
    <w:autoRedefine/>
    <w:qFormat/>
    <w:uiPriority w:val="0"/>
    <w:pPr>
      <w:tabs>
        <w:tab w:val="left" w:pos="851"/>
      </w:tabs>
      <w:spacing w:before="100" w:beforeAutospacing="1"/>
    </w:pPr>
    <w:rPr>
      <w:rFonts w:ascii="宋体" w:hAnsi="宋体"/>
      <w:b/>
      <w:sz w:val="24"/>
    </w:rPr>
  </w:style>
  <w:style w:type="paragraph" w:customStyle="1" w:styleId="305">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06">
    <w:name w:val="Char Char1"/>
    <w:basedOn w:val="1"/>
    <w:autoRedefine/>
    <w:qFormat/>
    <w:uiPriority w:val="0"/>
    <w:pPr>
      <w:widowControl/>
      <w:spacing w:after="160" w:line="240" w:lineRule="exact"/>
    </w:pPr>
    <w:rPr>
      <w:rFonts w:ascii="Verdana" w:hAnsi="Verdana"/>
      <w:kern w:val="0"/>
      <w:sz w:val="20"/>
      <w:szCs w:val="20"/>
      <w:lang w:eastAsia="en-US"/>
    </w:rPr>
  </w:style>
  <w:style w:type="paragraph" w:customStyle="1" w:styleId="307">
    <w:name w:val="font5"/>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08">
    <w:name w:val="部分1"/>
    <w:basedOn w:val="1"/>
    <w:autoRedefine/>
    <w:qFormat/>
    <w:uiPriority w:val="0"/>
    <w:pPr>
      <w:keepNext/>
      <w:pageBreakBefore/>
      <w:numPr>
        <w:ilvl w:val="0"/>
        <w:numId w:val="7"/>
      </w:numPr>
      <w:jc w:val="center"/>
      <w:outlineLvl w:val="0"/>
    </w:pPr>
    <w:rPr>
      <w:rFonts w:eastAsia="黑体"/>
      <w:b/>
      <w:kern w:val="44"/>
      <w:sz w:val="36"/>
      <w:szCs w:val="20"/>
    </w:rPr>
  </w:style>
  <w:style w:type="paragraph" w:customStyle="1" w:styleId="309">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310">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color w:val="000000"/>
      <w:kern w:val="0"/>
      <w:szCs w:val="20"/>
    </w:rPr>
  </w:style>
  <w:style w:type="paragraph" w:customStyle="1" w:styleId="311">
    <w:name w:val="大纲正文"/>
    <w:basedOn w:val="1"/>
    <w:autoRedefine/>
    <w:qFormat/>
    <w:uiPriority w:val="0"/>
    <w:rPr>
      <w:rFonts w:cs="宋体"/>
      <w:szCs w:val="20"/>
    </w:rPr>
  </w:style>
  <w:style w:type="paragraph" w:customStyle="1" w:styleId="312">
    <w:name w:val="正文缩进2格"/>
    <w:basedOn w:val="1"/>
    <w:autoRedefine/>
    <w:qFormat/>
    <w:uiPriority w:val="0"/>
    <w:pPr>
      <w:spacing w:line="600" w:lineRule="exact"/>
      <w:ind w:firstLine="639" w:firstLineChars="206"/>
    </w:pPr>
    <w:rPr>
      <w:rFonts w:ascii="仿宋_GB2312" w:hAnsi="宋体" w:eastAsia="仿宋_GB2312"/>
      <w:kern w:val="0"/>
      <w:sz w:val="31"/>
      <w:szCs w:val="28"/>
    </w:rPr>
  </w:style>
  <w:style w:type="paragraph" w:customStyle="1" w:styleId="313">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Cs w:val="20"/>
    </w:rPr>
  </w:style>
  <w:style w:type="paragraph" w:customStyle="1" w:styleId="314">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Light" w:hAnsi="微软雅黑 Light" w:eastAsia="微软雅黑 Light" w:cs="宋体"/>
      <w:color w:val="000000"/>
      <w:kern w:val="0"/>
      <w:sz w:val="20"/>
      <w:szCs w:val="20"/>
    </w:rPr>
  </w:style>
  <w:style w:type="paragraph" w:customStyle="1" w:styleId="315">
    <w:name w:val="正文 + (中文) 仿宋_GB2312"/>
    <w:basedOn w:val="1"/>
    <w:autoRedefine/>
    <w:qFormat/>
    <w:uiPriority w:val="0"/>
    <w:pPr>
      <w:widowControl/>
      <w:spacing w:after="200" w:line="276" w:lineRule="auto"/>
      <w:jc w:val="left"/>
      <w:outlineLvl w:val="1"/>
    </w:pPr>
    <w:rPr>
      <w:rFonts w:ascii="Calibri" w:hAnsi="Calibri" w:eastAsia="仿宋_GB2312"/>
      <w:b/>
      <w:color w:val="336699"/>
      <w:kern w:val="0"/>
      <w:sz w:val="30"/>
      <w:szCs w:val="30"/>
      <w:lang w:eastAsia="en-US" w:bidi="en-US"/>
    </w:rPr>
  </w:style>
  <w:style w:type="paragraph" w:customStyle="1" w:styleId="316">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rPr>
  </w:style>
  <w:style w:type="paragraph" w:customStyle="1" w:styleId="317">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318">
    <w:name w:val="xl5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pPr>
    <w:rPr>
      <w:b/>
      <w:kern w:val="0"/>
      <w:szCs w:val="20"/>
    </w:rPr>
  </w:style>
  <w:style w:type="paragraph" w:customStyle="1" w:styleId="319">
    <w:name w:val="缺省文本"/>
    <w:basedOn w:val="1"/>
    <w:autoRedefine/>
    <w:qFormat/>
    <w:uiPriority w:val="0"/>
    <w:pPr>
      <w:autoSpaceDE w:val="0"/>
      <w:autoSpaceDN w:val="0"/>
      <w:adjustRightInd w:val="0"/>
    </w:pPr>
    <w:rPr>
      <w:kern w:val="0"/>
      <w:szCs w:val="20"/>
    </w:rPr>
  </w:style>
  <w:style w:type="paragraph" w:customStyle="1" w:styleId="320">
    <w:name w:val="_Style 14"/>
    <w:basedOn w:val="1"/>
    <w:autoRedefine/>
    <w:qFormat/>
    <w:uiPriority w:val="0"/>
  </w:style>
  <w:style w:type="paragraph" w:customStyle="1" w:styleId="321">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322">
    <w:name w:val="xl78"/>
    <w:basedOn w:val="1"/>
    <w:autoRedefine/>
    <w:qFormat/>
    <w:uiPriority w:val="0"/>
    <w:pPr>
      <w:widowControl/>
      <w:spacing w:before="100" w:beforeAutospacing="1" w:after="100" w:afterAutospacing="1"/>
      <w:jc w:val="center"/>
    </w:pPr>
    <w:rPr>
      <w:rFonts w:ascii="微软雅黑 Light" w:hAnsi="微软雅黑 Light" w:eastAsia="微软雅黑 Light" w:cs="宋体"/>
      <w:kern w:val="0"/>
      <w:sz w:val="20"/>
      <w:szCs w:val="20"/>
    </w:rPr>
  </w:style>
  <w:style w:type="paragraph" w:customStyle="1" w:styleId="323">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kern w:val="0"/>
      <w:szCs w:val="20"/>
    </w:rPr>
  </w:style>
  <w:style w:type="paragraph" w:customStyle="1" w:styleId="324">
    <w:name w:val="文档正文"/>
    <w:basedOn w:val="1"/>
    <w:autoRedefine/>
    <w:qFormat/>
    <w:uiPriority w:val="0"/>
    <w:pPr>
      <w:tabs>
        <w:tab w:val="left" w:pos="360"/>
        <w:tab w:val="left" w:pos="907"/>
        <w:tab w:val="left" w:pos="980"/>
      </w:tabs>
      <w:adjustRightInd w:val="0"/>
      <w:snapToGrid w:val="0"/>
      <w:spacing w:line="300" w:lineRule="auto"/>
      <w:ind w:left="709" w:hanging="709"/>
    </w:pPr>
    <w:rPr>
      <w:rFonts w:ascii="仿宋_GB2312" w:hAnsi="宋体"/>
      <w:kern w:val="0"/>
      <w:szCs w:val="20"/>
    </w:rPr>
  </w:style>
  <w:style w:type="paragraph" w:customStyle="1" w:styleId="325">
    <w:name w:val="GMCC 正文"/>
    <w:basedOn w:val="1"/>
    <w:autoRedefine/>
    <w:qFormat/>
    <w:uiPriority w:val="0"/>
    <w:pPr>
      <w:spacing w:line="360" w:lineRule="exact"/>
    </w:pPr>
    <w:rPr>
      <w:szCs w:val="20"/>
    </w:rPr>
  </w:style>
  <w:style w:type="paragraph" w:customStyle="1" w:styleId="326">
    <w:name w:val="样式 GMCC 正文 + 五号 行距: 单倍行距"/>
    <w:basedOn w:val="325"/>
    <w:autoRedefine/>
    <w:qFormat/>
    <w:uiPriority w:val="0"/>
    <w:pPr>
      <w:numPr>
        <w:ilvl w:val="0"/>
        <w:numId w:val="8"/>
      </w:numPr>
      <w:spacing w:line="360" w:lineRule="auto"/>
    </w:pPr>
    <w:rPr>
      <w:rFonts w:cs="宋体"/>
      <w:sz w:val="21"/>
    </w:rPr>
  </w:style>
  <w:style w:type="paragraph" w:customStyle="1" w:styleId="327">
    <w:name w:val="Item List in Table"/>
    <w:autoRedefine/>
    <w:qFormat/>
    <w:uiPriority w:val="0"/>
    <w:pPr>
      <w:tabs>
        <w:tab w:val="left" w:pos="284"/>
        <w:tab w:val="left" w:pos="907"/>
      </w:tabs>
      <w:spacing w:before="40" w:after="40"/>
      <w:ind w:left="709" w:hanging="709"/>
      <w:jc w:val="both"/>
    </w:pPr>
    <w:rPr>
      <w:rFonts w:ascii="Arial" w:hAnsi="Arial" w:eastAsia="宋体" w:cs="Arial"/>
      <w:sz w:val="18"/>
      <w:szCs w:val="18"/>
      <w:lang w:val="en-US" w:eastAsia="zh-CN" w:bidi="ar-SA"/>
    </w:rPr>
  </w:style>
  <w:style w:type="paragraph" w:customStyle="1" w:styleId="328">
    <w:name w:val="普通文字"/>
    <w:basedOn w:val="1"/>
    <w:next w:val="1"/>
    <w:autoRedefine/>
    <w:qFormat/>
    <w:uiPriority w:val="0"/>
    <w:rPr>
      <w:rFonts w:ascii="宋体"/>
      <w:kern w:val="0"/>
      <w:szCs w:val="20"/>
      <w:u w:color="000000"/>
    </w:rPr>
  </w:style>
  <w:style w:type="paragraph" w:customStyle="1" w:styleId="329">
    <w:name w:val="Char2"/>
    <w:basedOn w:val="1"/>
    <w:autoRedefine/>
    <w:qFormat/>
    <w:uiPriority w:val="0"/>
    <w:pPr>
      <w:tabs>
        <w:tab w:val="left" w:pos="360"/>
      </w:tabs>
    </w:pPr>
  </w:style>
  <w:style w:type="paragraph" w:customStyle="1" w:styleId="330">
    <w:name w:val="xl2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rPr>
  </w:style>
  <w:style w:type="paragraph" w:customStyle="1" w:styleId="33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b/>
      <w:kern w:val="0"/>
      <w:sz w:val="28"/>
      <w:szCs w:val="20"/>
    </w:rPr>
  </w:style>
  <w:style w:type="paragraph" w:customStyle="1" w:styleId="332">
    <w:name w:val="正文3"/>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333">
    <w:name w:val="样式1"/>
    <w:basedOn w:val="1"/>
    <w:autoRedefine/>
    <w:qFormat/>
    <w:uiPriority w:val="0"/>
    <w:pPr>
      <w:tabs>
        <w:tab w:val="left" w:pos="709"/>
      </w:tabs>
      <w:adjustRightInd w:val="0"/>
      <w:ind w:left="709" w:hanging="709"/>
      <w:textAlignment w:val="baseline"/>
    </w:pPr>
    <w:rPr>
      <w:rFonts w:ascii="宋体" w:hAnsi="宋体"/>
      <w:kern w:val="0"/>
    </w:rPr>
  </w:style>
  <w:style w:type="paragraph" w:customStyle="1" w:styleId="334">
    <w:name w:val="xl70"/>
    <w:basedOn w:val="1"/>
    <w:autoRedefine/>
    <w:qFormat/>
    <w:uiPriority w:val="0"/>
    <w:pPr>
      <w:widowControl/>
      <w:pBdr>
        <w:top w:val="single" w:color="auto" w:sz="4" w:space="0"/>
        <w:bottom w:val="single" w:color="auto" w:sz="4" w:space="0"/>
      </w:pBdr>
      <w:spacing w:before="100" w:beforeAutospacing="1" w:after="100" w:afterAutospacing="1"/>
    </w:pPr>
    <w:rPr>
      <w:rFonts w:hint="eastAsia" w:ascii="宋体" w:hAnsi="宋体"/>
      <w:b/>
      <w:kern w:val="0"/>
      <w:sz w:val="28"/>
      <w:szCs w:val="20"/>
    </w:rPr>
  </w:style>
  <w:style w:type="paragraph" w:customStyle="1" w:styleId="335">
    <w:name w:val="标书表格字体格式"/>
    <w:next w:val="1"/>
    <w:autoRedefine/>
    <w:qFormat/>
    <w:uiPriority w:val="0"/>
    <w:rPr>
      <w:rFonts w:ascii="Times New Roman" w:hAnsi="Times New Roman" w:eastAsia="宋体" w:cs="Times New Roman"/>
      <w:kern w:val="2"/>
      <w:sz w:val="21"/>
      <w:szCs w:val="24"/>
      <w:lang w:val="en-US" w:eastAsia="zh-CN" w:bidi="ar-SA"/>
    </w:rPr>
  </w:style>
  <w:style w:type="paragraph" w:customStyle="1" w:styleId="336">
    <w:name w:val="xl2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rPr>
  </w:style>
  <w:style w:type="paragraph" w:customStyle="1" w:styleId="337">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EAAAA"/>
      <w:spacing w:before="100" w:beforeAutospacing="1" w:after="100" w:afterAutospacing="1"/>
      <w:jc w:val="left"/>
    </w:pPr>
    <w:rPr>
      <w:rFonts w:ascii="微软雅黑 Light" w:hAnsi="微软雅黑 Light" w:eastAsia="微软雅黑 Light" w:cs="宋体"/>
      <w:b/>
      <w:bCs/>
      <w:kern w:val="0"/>
      <w:sz w:val="20"/>
      <w:szCs w:val="20"/>
    </w:rPr>
  </w:style>
  <w:style w:type="paragraph" w:customStyle="1" w:styleId="338">
    <w:name w:val="Char Char Char Char Char Char Char Char Char Char"/>
    <w:basedOn w:val="1"/>
    <w:autoRedefine/>
    <w:qFormat/>
    <w:uiPriority w:val="0"/>
    <w:pPr>
      <w:adjustRightInd w:val="0"/>
    </w:pPr>
    <w:rPr>
      <w:kern w:val="0"/>
      <w:szCs w:val="20"/>
    </w:rPr>
  </w:style>
  <w:style w:type="paragraph" w:customStyle="1" w:styleId="339">
    <w:name w:val="正文缩进2"/>
    <w:basedOn w:val="1"/>
    <w:autoRedefine/>
    <w:qFormat/>
    <w:uiPriority w:val="0"/>
    <w:pPr>
      <w:spacing w:before="50"/>
      <w:ind w:left="200" w:firstLine="420"/>
    </w:pPr>
  </w:style>
  <w:style w:type="paragraph" w:customStyle="1" w:styleId="340">
    <w:name w:val="tabletext"/>
    <w:basedOn w:val="1"/>
    <w:autoRedefine/>
    <w:qFormat/>
    <w:uiPriority w:val="0"/>
    <w:pPr>
      <w:widowControl/>
      <w:spacing w:before="100" w:beforeAutospacing="1" w:after="100" w:afterAutospacing="1" w:line="240" w:lineRule="atLeast"/>
    </w:pPr>
    <w:rPr>
      <w:rFonts w:hint="eastAsia" w:ascii="宋体" w:hAnsi="宋体"/>
      <w:kern w:val="0"/>
      <w:sz w:val="18"/>
      <w:szCs w:val="20"/>
    </w:rPr>
  </w:style>
  <w:style w:type="paragraph" w:customStyle="1" w:styleId="341">
    <w:name w:val="列表1"/>
    <w:basedOn w:val="1"/>
    <w:autoRedefine/>
    <w:qFormat/>
    <w:uiPriority w:val="0"/>
    <w:pPr>
      <w:ind w:left="902" w:hanging="482"/>
    </w:pPr>
    <w:rPr>
      <w:rFonts w:ascii="昆仑仿宋" w:eastAsia="昆仑仿宋"/>
      <w:szCs w:val="20"/>
    </w:rPr>
  </w:style>
  <w:style w:type="paragraph" w:customStyle="1" w:styleId="342">
    <w:name w:val="xl4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pPr>
    <w:rPr>
      <w:rFonts w:hint="eastAsia" w:ascii="宋体" w:hAnsi="宋体"/>
      <w:kern w:val="0"/>
      <w:szCs w:val="20"/>
    </w:rPr>
  </w:style>
  <w:style w:type="paragraph" w:customStyle="1" w:styleId="34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44">
    <w:name w:val="南通方案正文"/>
    <w:basedOn w:val="1"/>
    <w:autoRedefine/>
    <w:qFormat/>
    <w:uiPriority w:val="0"/>
    <w:rPr>
      <w:szCs w:val="20"/>
    </w:rPr>
  </w:style>
  <w:style w:type="paragraph" w:customStyle="1" w:styleId="345">
    <w:name w:val="4"/>
    <w:basedOn w:val="1"/>
    <w:next w:val="38"/>
    <w:autoRedefine/>
    <w:qFormat/>
    <w:uiPriority w:val="0"/>
    <w:pPr>
      <w:ind w:firstLine="420"/>
    </w:pPr>
    <w:rPr>
      <w:color w:val="FF0000"/>
    </w:rPr>
  </w:style>
  <w:style w:type="paragraph" w:customStyle="1" w:styleId="346">
    <w:name w:val="Char Char Char Char1"/>
    <w:basedOn w:val="14"/>
    <w:autoRedefine/>
    <w:qFormat/>
    <w:uiPriority w:val="0"/>
    <w:pPr>
      <w:adjustRightInd w:val="0"/>
      <w:snapToGrid w:val="0"/>
    </w:pPr>
    <w:rPr>
      <w:rFonts w:ascii="Tahoma" w:hAnsi="Tahoma"/>
      <w:sz w:val="24"/>
      <w:szCs w:val="24"/>
    </w:rPr>
  </w:style>
  <w:style w:type="paragraph" w:customStyle="1" w:styleId="34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Cs w:val="20"/>
    </w:rPr>
  </w:style>
  <w:style w:type="paragraph" w:customStyle="1" w:styleId="348">
    <w:name w:val="表格正文+小四号"/>
    <w:basedOn w:val="1"/>
    <w:next w:val="7"/>
    <w:autoRedefine/>
    <w:qFormat/>
    <w:uiPriority w:val="0"/>
    <w:pPr>
      <w:jc w:val="center"/>
    </w:pPr>
    <w:rPr>
      <w:rFonts w:cs="宋体"/>
      <w:szCs w:val="20"/>
    </w:rPr>
  </w:style>
  <w:style w:type="paragraph" w:customStyle="1" w:styleId="349">
    <w:name w:val="No Spacing1"/>
    <w:basedOn w:val="1"/>
    <w:autoRedefine/>
    <w:qFormat/>
    <w:uiPriority w:val="0"/>
    <w:rPr>
      <w:sz w:val="21"/>
      <w:szCs w:val="22"/>
    </w:rPr>
  </w:style>
  <w:style w:type="paragraph" w:customStyle="1" w:styleId="350">
    <w:name w:val="xl64"/>
    <w:basedOn w:val="1"/>
    <w:autoRedefine/>
    <w:qFormat/>
    <w:uiPriority w:val="0"/>
    <w:pPr>
      <w:widowControl/>
      <w:pBdr>
        <w:top w:val="single" w:color="auto" w:sz="4" w:space="0"/>
        <w:bottom w:val="single" w:color="auto" w:sz="4" w:space="0"/>
      </w:pBdr>
      <w:shd w:val="clear" w:color="auto" w:fill="FFFF99"/>
      <w:spacing w:before="100" w:beforeAutospacing="1" w:after="100" w:afterAutospacing="1"/>
    </w:pPr>
    <w:rPr>
      <w:rFonts w:hint="eastAsia" w:ascii="宋体" w:hAnsi="宋体"/>
      <w:b/>
      <w:color w:val="000000"/>
      <w:kern w:val="0"/>
      <w:szCs w:val="20"/>
    </w:rPr>
  </w:style>
  <w:style w:type="paragraph" w:customStyle="1" w:styleId="35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color w:val="000000"/>
      <w:kern w:val="0"/>
      <w:szCs w:val="20"/>
    </w:rPr>
  </w:style>
  <w:style w:type="paragraph" w:customStyle="1" w:styleId="352">
    <w:name w:val="P3"/>
    <w:autoRedefine/>
    <w:qFormat/>
    <w:uiPriority w:val="0"/>
    <w:pPr>
      <w:widowControl w:val="0"/>
      <w:adjustRightInd w:val="0"/>
      <w:spacing w:after="240" w:line="0" w:lineRule="atLeast"/>
      <w:ind w:left="2880"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353">
    <w:name w:val="tableheading"/>
    <w:basedOn w:val="1"/>
    <w:autoRedefine/>
    <w:qFormat/>
    <w:uiPriority w:val="0"/>
    <w:pPr>
      <w:widowControl/>
      <w:spacing w:before="100" w:beforeAutospacing="1" w:after="100" w:afterAutospacing="1" w:line="240" w:lineRule="atLeast"/>
    </w:pPr>
    <w:rPr>
      <w:rFonts w:hint="eastAsia" w:ascii="宋体" w:hAnsi="宋体"/>
      <w:kern w:val="0"/>
      <w:sz w:val="18"/>
      <w:szCs w:val="20"/>
    </w:rPr>
  </w:style>
  <w:style w:type="paragraph" w:customStyle="1" w:styleId="354">
    <w:name w:val="List Paragraph1"/>
    <w:basedOn w:val="1"/>
    <w:autoRedefine/>
    <w:qFormat/>
    <w:uiPriority w:val="0"/>
    <w:pPr>
      <w:ind w:firstLine="420"/>
    </w:pPr>
    <w:rPr>
      <w:rFonts w:hint="eastAsia"/>
    </w:rPr>
  </w:style>
  <w:style w:type="paragraph" w:customStyle="1" w:styleId="355">
    <w:name w:val="Char Char3 Char Char"/>
    <w:basedOn w:val="14"/>
    <w:autoRedefine/>
    <w:qFormat/>
    <w:uiPriority w:val="0"/>
    <w:rPr>
      <w:rFonts w:ascii="Tahoma" w:hAnsi="Tahoma"/>
      <w:sz w:val="24"/>
      <w:szCs w:val="24"/>
      <w:shd w:val="clear" w:color="auto" w:fill="000080"/>
    </w:rPr>
  </w:style>
  <w:style w:type="paragraph" w:customStyle="1" w:styleId="356">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pPr>
    <w:rPr>
      <w:rFonts w:hint="eastAsia" w:ascii="宋体" w:hAnsi="宋体"/>
      <w:color w:val="000000"/>
      <w:kern w:val="0"/>
      <w:szCs w:val="20"/>
    </w:rPr>
  </w:style>
  <w:style w:type="paragraph" w:customStyle="1" w:styleId="357">
    <w:name w:val="Char Char1 Char Char Char Char Char Char Char Char Char Char Char Char Char Char Char"/>
    <w:basedOn w:val="1"/>
    <w:autoRedefine/>
    <w:qFormat/>
    <w:uiPriority w:val="0"/>
    <w:pPr>
      <w:widowControl/>
      <w:numPr>
        <w:ilvl w:val="8"/>
        <w:numId w:val="9"/>
      </w:numPr>
      <w:spacing w:after="160" w:line="240" w:lineRule="exact"/>
      <w:jc w:val="left"/>
    </w:pPr>
    <w:rPr>
      <w:rFonts w:ascii="Verdana" w:hAnsi="Verdana"/>
      <w:kern w:val="0"/>
      <w:sz w:val="20"/>
      <w:szCs w:val="20"/>
      <w:lang w:eastAsia="en-US"/>
    </w:rPr>
  </w:style>
  <w:style w:type="paragraph" w:customStyle="1" w:styleId="358">
    <w:name w:val="Char Char Char Char Char Char Char Char Char Char1"/>
    <w:basedOn w:val="1"/>
    <w:autoRedefine/>
    <w:qFormat/>
    <w:uiPriority w:val="0"/>
    <w:pPr>
      <w:adjustRightInd w:val="0"/>
      <w:ind w:firstLine="200"/>
    </w:pPr>
    <w:rPr>
      <w:kern w:val="0"/>
      <w:szCs w:val="20"/>
    </w:rPr>
  </w:style>
  <w:style w:type="paragraph" w:customStyle="1" w:styleId="359">
    <w:name w:val="Char Char Char Char Char Char Char Char Char Char Char1 Char Char Char1"/>
    <w:basedOn w:val="1"/>
    <w:autoRedefine/>
    <w:qFormat/>
    <w:uiPriority w:val="0"/>
    <w:pPr>
      <w:ind w:firstLine="200"/>
      <w:jc w:val="left"/>
    </w:pPr>
  </w:style>
  <w:style w:type="paragraph" w:customStyle="1" w:styleId="360">
    <w:name w:val="xl6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pPr>
    <w:rPr>
      <w:rFonts w:hint="eastAsia" w:ascii="宋体" w:hAnsi="宋体"/>
      <w:b/>
      <w:kern w:val="0"/>
      <w:szCs w:val="20"/>
    </w:rPr>
  </w:style>
  <w:style w:type="paragraph" w:customStyle="1" w:styleId="361">
    <w:name w:val="三级目录"/>
    <w:next w:val="1"/>
    <w:autoRedefine/>
    <w:qFormat/>
    <w:uiPriority w:val="0"/>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362">
    <w:name w:val="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63">
    <w:name w:val="xl63"/>
    <w:basedOn w:val="1"/>
    <w:autoRedefine/>
    <w:qFormat/>
    <w:uiPriority w:val="0"/>
    <w:pPr>
      <w:widowControl/>
      <w:pBdr>
        <w:top w:val="single" w:color="auto" w:sz="4" w:space="0"/>
        <w:left w:val="single" w:color="auto" w:sz="4" w:space="0"/>
        <w:bottom w:val="single" w:color="auto" w:sz="4" w:space="0"/>
      </w:pBdr>
      <w:shd w:val="clear" w:color="auto" w:fill="FFFF99"/>
      <w:spacing w:before="100" w:beforeAutospacing="1" w:after="100" w:afterAutospacing="1"/>
    </w:pPr>
    <w:rPr>
      <w:rFonts w:hint="eastAsia" w:ascii="宋体" w:hAnsi="宋体"/>
      <w:b/>
      <w:color w:val="000000"/>
      <w:kern w:val="0"/>
      <w:szCs w:val="20"/>
    </w:rPr>
  </w:style>
  <w:style w:type="paragraph" w:customStyle="1" w:styleId="364">
    <w:name w:val="标题04."/>
    <w:basedOn w:val="5"/>
    <w:next w:val="1"/>
    <w:autoRedefine/>
    <w:qFormat/>
    <w:uiPriority w:val="0"/>
    <w:pPr>
      <w:numPr>
        <w:ilvl w:val="3"/>
        <w:numId w:val="10"/>
      </w:numPr>
      <w:spacing w:before="0" w:after="0" w:line="400" w:lineRule="atLeast"/>
      <w:ind w:firstLine="200"/>
    </w:pPr>
    <w:rPr>
      <w:rFonts w:ascii="Cambria" w:hAnsi="Cambria" w:eastAsia="宋体"/>
      <w:b w:val="0"/>
      <w:sz w:val="24"/>
    </w:rPr>
  </w:style>
  <w:style w:type="paragraph" w:customStyle="1" w:styleId="365">
    <w:name w:val="Char Char1 Char Char Char Char"/>
    <w:basedOn w:val="14"/>
    <w:autoRedefine/>
    <w:qFormat/>
    <w:uiPriority w:val="0"/>
    <w:pPr>
      <w:adjustRightInd w:val="0"/>
      <w:spacing w:line="436" w:lineRule="exact"/>
      <w:ind w:left="357"/>
      <w:jc w:val="left"/>
      <w:outlineLvl w:val="3"/>
    </w:pPr>
    <w:rPr>
      <w:rFonts w:ascii="Tahoma" w:hAnsi="Tahoma"/>
      <w:b/>
      <w:sz w:val="24"/>
      <w:szCs w:val="24"/>
    </w:rPr>
  </w:style>
  <w:style w:type="paragraph" w:customStyle="1" w:styleId="366">
    <w:name w:val="标题31"/>
    <w:basedOn w:val="1"/>
    <w:next w:val="1"/>
    <w:autoRedefine/>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367">
    <w:name w:val="xl4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pPr>
    <w:rPr>
      <w:rFonts w:hint="eastAsia" w:ascii="黑体" w:hAnsi="宋体" w:eastAsia="黑体"/>
      <w:b/>
      <w:kern w:val="0"/>
      <w:szCs w:val="20"/>
    </w:rPr>
  </w:style>
  <w:style w:type="paragraph" w:customStyle="1" w:styleId="368">
    <w:name w:val="Char Char"/>
    <w:basedOn w:val="1"/>
    <w:autoRedefine/>
    <w:qFormat/>
    <w:uiPriority w:val="0"/>
    <w:rPr>
      <w:szCs w:val="20"/>
    </w:rPr>
  </w:style>
  <w:style w:type="paragraph" w:customStyle="1" w:styleId="369">
    <w:name w:val="±íÉí"/>
    <w:basedOn w:val="1"/>
    <w:autoRedefine/>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370">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Light" w:hAnsi="微软雅黑 Light" w:eastAsia="微软雅黑 Light" w:cs="宋体"/>
      <w:kern w:val="0"/>
      <w:sz w:val="20"/>
      <w:szCs w:val="20"/>
    </w:rPr>
  </w:style>
  <w:style w:type="paragraph" w:customStyle="1" w:styleId="371">
    <w:name w:val="标题01"/>
    <w:basedOn w:val="2"/>
    <w:next w:val="1"/>
    <w:autoRedefine/>
    <w:qFormat/>
    <w:uiPriority w:val="0"/>
    <w:pPr>
      <w:keepNext w:val="0"/>
      <w:numPr>
        <w:ilvl w:val="0"/>
        <w:numId w:val="10"/>
      </w:numPr>
      <w:spacing w:line="400" w:lineRule="atLeast"/>
      <w:jc w:val="left"/>
    </w:pPr>
    <w:rPr>
      <w:bCs w:val="0"/>
      <w:kern w:val="44"/>
      <w:sz w:val="24"/>
      <w:szCs w:val="44"/>
    </w:rPr>
  </w:style>
  <w:style w:type="paragraph" w:customStyle="1" w:styleId="372">
    <w:name w:val="默认段落字体 Para Char"/>
    <w:basedOn w:val="1"/>
    <w:autoRedefine/>
    <w:qFormat/>
    <w:uiPriority w:val="0"/>
    <w:pPr>
      <w:numPr>
        <w:ilvl w:val="0"/>
        <w:numId w:val="1"/>
      </w:numPr>
    </w:pPr>
  </w:style>
  <w:style w:type="paragraph" w:customStyle="1" w:styleId="373">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EAAAA"/>
      <w:spacing w:before="100" w:beforeAutospacing="1" w:after="100" w:afterAutospacing="1"/>
      <w:jc w:val="center"/>
    </w:pPr>
    <w:rPr>
      <w:rFonts w:ascii="微软雅黑 Light" w:hAnsi="微软雅黑 Light" w:eastAsia="微软雅黑 Light" w:cs="宋体"/>
      <w:b/>
      <w:bCs/>
      <w:color w:val="FFFFFF"/>
      <w:kern w:val="0"/>
      <w:sz w:val="20"/>
      <w:szCs w:val="20"/>
    </w:rPr>
  </w:style>
  <w:style w:type="paragraph" w:customStyle="1" w:styleId="374">
    <w:name w:val="正文段"/>
    <w:basedOn w:val="1"/>
    <w:autoRedefine/>
    <w:qFormat/>
    <w:uiPriority w:val="0"/>
    <w:pPr>
      <w:adjustRightInd w:val="0"/>
      <w:spacing w:after="240" w:line="312" w:lineRule="atLeast"/>
      <w:ind w:firstLine="425"/>
      <w:textAlignment w:val="baseline"/>
    </w:pPr>
    <w:rPr>
      <w:kern w:val="0"/>
      <w:szCs w:val="20"/>
    </w:rPr>
  </w:style>
  <w:style w:type="paragraph" w:customStyle="1" w:styleId="375">
    <w:name w:val="flType"/>
    <w:basedOn w:val="1"/>
    <w:autoRedefine/>
    <w:qFormat/>
    <w:uiPriority w:val="0"/>
    <w:pPr>
      <w:adjustRightInd w:val="0"/>
      <w:spacing w:after="284" w:line="113" w:lineRule="atLeast"/>
      <w:jc w:val="center"/>
    </w:pPr>
    <w:rPr>
      <w:kern w:val="0"/>
      <w:szCs w:val="20"/>
    </w:rPr>
  </w:style>
  <w:style w:type="paragraph" w:customStyle="1" w:styleId="376">
    <w:name w:val="xl66"/>
    <w:basedOn w:val="1"/>
    <w:autoRedefine/>
    <w:qFormat/>
    <w:uiPriority w:val="0"/>
    <w:pPr>
      <w:widowControl/>
      <w:pBdr>
        <w:top w:val="single" w:color="auto" w:sz="4" w:space="0"/>
        <w:bottom w:val="single" w:color="auto" w:sz="4" w:space="0"/>
      </w:pBdr>
      <w:spacing w:before="100" w:beforeAutospacing="1" w:after="100" w:afterAutospacing="1"/>
    </w:pPr>
    <w:rPr>
      <w:rFonts w:hint="eastAsia" w:ascii="宋体" w:hAnsi="宋体"/>
      <w:b/>
      <w:kern w:val="0"/>
      <w:szCs w:val="20"/>
    </w:rPr>
  </w:style>
  <w:style w:type="paragraph" w:customStyle="1" w:styleId="377">
    <w:name w:val="xl72"/>
    <w:basedOn w:val="1"/>
    <w:autoRedefine/>
    <w:qFormat/>
    <w:uiPriority w:val="0"/>
    <w:pPr>
      <w:widowControl/>
      <w:pBdr>
        <w:top w:val="single" w:color="auto" w:sz="4" w:space="0"/>
        <w:left w:val="single" w:color="auto" w:sz="4" w:space="0"/>
        <w:bottom w:val="single" w:color="auto" w:sz="4" w:space="0"/>
      </w:pBdr>
      <w:shd w:val="clear" w:color="auto" w:fill="FFFF99"/>
      <w:spacing w:before="100" w:beforeAutospacing="1" w:after="100" w:afterAutospacing="1"/>
    </w:pPr>
    <w:rPr>
      <w:rFonts w:hint="eastAsia" w:ascii="宋体" w:hAnsi="宋体"/>
      <w:b/>
      <w:kern w:val="0"/>
      <w:sz w:val="28"/>
      <w:szCs w:val="20"/>
    </w:rPr>
  </w:style>
  <w:style w:type="paragraph" w:customStyle="1" w:styleId="378">
    <w:name w:val="样式 标题 1 + 红色"/>
    <w:basedOn w:val="2"/>
    <w:autoRedefine/>
    <w:qFormat/>
    <w:uiPriority w:val="0"/>
    <w:pPr>
      <w:keepLines/>
      <w:numPr>
        <w:ilvl w:val="0"/>
        <w:numId w:val="11"/>
      </w:numPr>
      <w:tabs>
        <w:tab w:val="left" w:pos="425"/>
        <w:tab w:val="left" w:pos="720"/>
        <w:tab w:val="clear" w:pos="1440"/>
      </w:tabs>
      <w:spacing w:before="340" w:after="330" w:line="576" w:lineRule="auto"/>
      <w:jc w:val="both"/>
    </w:pPr>
    <w:rPr>
      <w:rFonts w:eastAsia="Arial"/>
      <w:b w:val="0"/>
      <w:bCs w:val="0"/>
      <w:color w:val="FF0000"/>
      <w:kern w:val="44"/>
      <w:sz w:val="30"/>
      <w:szCs w:val="44"/>
    </w:rPr>
  </w:style>
  <w:style w:type="paragraph" w:customStyle="1" w:styleId="379">
    <w:name w:val="章标题a"/>
    <w:basedOn w:val="1"/>
    <w:autoRedefine/>
    <w:qFormat/>
    <w:uiPriority w:val="0"/>
    <w:pPr>
      <w:spacing w:after="60"/>
      <w:jc w:val="center"/>
      <w:outlineLvl w:val="0"/>
    </w:pPr>
    <w:rPr>
      <w:rFonts w:ascii="宋体" w:hAnsi="宋体" w:eastAsia="黑体"/>
      <w:bCs/>
      <w:sz w:val="32"/>
      <w:szCs w:val="32"/>
    </w:rPr>
  </w:style>
  <w:style w:type="paragraph" w:customStyle="1" w:styleId="380">
    <w:name w:val="打印正文1"/>
    <w:basedOn w:val="1"/>
    <w:autoRedefine/>
    <w:qFormat/>
    <w:uiPriority w:val="0"/>
    <w:pPr>
      <w:widowControl/>
      <w:jc w:val="left"/>
    </w:pPr>
    <w:rPr>
      <w:szCs w:val="20"/>
      <w:lang w:val="fr-FR"/>
    </w:rPr>
  </w:style>
  <w:style w:type="paragraph" w:customStyle="1" w:styleId="381">
    <w:name w:val="表头文字"/>
    <w:basedOn w:val="1"/>
    <w:next w:val="1"/>
    <w:autoRedefine/>
    <w:qFormat/>
    <w:uiPriority w:val="0"/>
    <w:pPr>
      <w:adjustRightInd w:val="0"/>
      <w:snapToGrid w:val="0"/>
      <w:spacing w:before="100" w:after="50" w:line="440" w:lineRule="exact"/>
      <w:jc w:val="center"/>
    </w:pPr>
    <w:rPr>
      <w:rFonts w:eastAsia="黑体"/>
      <w:b/>
      <w:sz w:val="28"/>
      <w:szCs w:val="20"/>
    </w:rPr>
  </w:style>
  <w:style w:type="paragraph" w:customStyle="1" w:styleId="382">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383">
    <w:name w:val="xl5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kern w:val="0"/>
      <w:sz w:val="22"/>
      <w:szCs w:val="20"/>
    </w:rPr>
  </w:style>
  <w:style w:type="paragraph" w:customStyle="1" w:styleId="384">
    <w:name w:val="Char1 Char Char"/>
    <w:basedOn w:val="1"/>
    <w:autoRedefine/>
    <w:qFormat/>
    <w:uiPriority w:val="0"/>
    <w:rPr>
      <w:szCs w:val="20"/>
    </w:rPr>
  </w:style>
  <w:style w:type="paragraph" w:customStyle="1" w:styleId="385">
    <w:name w:val="a0"/>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386">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b/>
      <w:kern w:val="0"/>
      <w:szCs w:val="20"/>
    </w:rPr>
  </w:style>
  <w:style w:type="paragraph" w:customStyle="1" w:styleId="387">
    <w:name w:val="p16"/>
    <w:basedOn w:val="1"/>
    <w:autoRedefine/>
    <w:qFormat/>
    <w:uiPriority w:val="0"/>
    <w:pPr>
      <w:widowControl/>
    </w:pPr>
    <w:rPr>
      <w:kern w:val="0"/>
    </w:rPr>
  </w:style>
  <w:style w:type="paragraph" w:customStyle="1" w:styleId="388">
    <w:name w:val="Char1 Char Char Char"/>
    <w:basedOn w:val="1"/>
    <w:autoRedefine/>
    <w:qFormat/>
    <w:uiPriority w:val="0"/>
  </w:style>
  <w:style w:type="paragraph" w:customStyle="1" w:styleId="389">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olor w:val="000000"/>
      <w:kern w:val="0"/>
      <w:szCs w:val="20"/>
    </w:rPr>
  </w:style>
  <w:style w:type="paragraph" w:customStyle="1" w:styleId="390">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color w:val="000000"/>
      <w:kern w:val="0"/>
      <w:szCs w:val="20"/>
    </w:rPr>
  </w:style>
  <w:style w:type="paragraph" w:customStyle="1" w:styleId="391">
    <w:name w:val="标题 2 + 黑色 行距: 1.5 倍行距"/>
    <w:basedOn w:val="3"/>
    <w:autoRedefine/>
    <w:qFormat/>
    <w:uiPriority w:val="0"/>
    <w:pPr>
      <w:spacing w:line="360" w:lineRule="auto"/>
      <w:jc w:val="both"/>
    </w:pPr>
    <w:rPr>
      <w:rFonts w:cs="宋体"/>
      <w:color w:val="000000"/>
      <w:szCs w:val="20"/>
    </w:rPr>
  </w:style>
  <w:style w:type="paragraph" w:customStyle="1" w:styleId="392">
    <w:name w:val="±íÏî"/>
    <w:basedOn w:val="1"/>
    <w:autoRedefine/>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393">
    <w:name w:val="正文 A"/>
    <w:autoRedefine/>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394">
    <w:name w:val="正文 1"/>
    <w:basedOn w:val="1"/>
    <w:autoRedefine/>
    <w:qFormat/>
    <w:uiPriority w:val="0"/>
    <w:pPr>
      <w:widowControl/>
      <w:snapToGrid w:val="0"/>
      <w:spacing w:before="80" w:after="80"/>
      <w:ind w:left="1418"/>
    </w:pPr>
    <w:rPr>
      <w:szCs w:val="20"/>
    </w:rPr>
  </w:style>
  <w:style w:type="paragraph" w:customStyle="1" w:styleId="395">
    <w:name w:val="图题"/>
    <w:basedOn w:val="394"/>
    <w:autoRedefine/>
    <w:qFormat/>
    <w:uiPriority w:val="0"/>
    <w:pPr>
      <w:jc w:val="center"/>
    </w:pPr>
    <w:rPr>
      <w:rFonts w:eastAsia="黑体"/>
      <w:sz w:val="18"/>
    </w:rPr>
  </w:style>
  <w:style w:type="paragraph" w:customStyle="1" w:styleId="396">
    <w:name w:val="Char31"/>
    <w:basedOn w:val="14"/>
    <w:autoRedefine/>
    <w:qFormat/>
    <w:uiPriority w:val="0"/>
    <w:pPr>
      <w:adjustRightInd w:val="0"/>
      <w:snapToGrid w:val="0"/>
      <w:ind w:firstLine="200"/>
    </w:pPr>
    <w:rPr>
      <w:rFonts w:ascii="Tahoma" w:hAnsi="Tahoma"/>
      <w:sz w:val="24"/>
      <w:szCs w:val="24"/>
      <w:shd w:val="clear" w:color="auto" w:fill="000080"/>
    </w:rPr>
  </w:style>
  <w:style w:type="paragraph" w:customStyle="1" w:styleId="397">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EAAAA"/>
      <w:spacing w:before="100" w:beforeAutospacing="1" w:after="100" w:afterAutospacing="1"/>
      <w:jc w:val="left"/>
    </w:pPr>
    <w:rPr>
      <w:rFonts w:ascii="微软雅黑 Light" w:hAnsi="微软雅黑 Light" w:eastAsia="微软雅黑 Light" w:cs="宋体"/>
      <w:b/>
      <w:bCs/>
      <w:kern w:val="0"/>
      <w:sz w:val="20"/>
      <w:szCs w:val="20"/>
    </w:rPr>
  </w:style>
  <w:style w:type="paragraph" w:customStyle="1" w:styleId="398">
    <w:name w:val="纯文本111"/>
    <w:basedOn w:val="1"/>
    <w:autoRedefine/>
    <w:qFormat/>
    <w:uiPriority w:val="0"/>
    <w:pPr>
      <w:adjustRightInd w:val="0"/>
    </w:pPr>
    <w:rPr>
      <w:rFonts w:hint="eastAsia" w:ascii="宋体" w:hAnsi="Courier New" w:eastAsia="楷体_GB2312"/>
      <w:sz w:val="28"/>
      <w:szCs w:val="20"/>
    </w:rPr>
  </w:style>
  <w:style w:type="paragraph" w:customStyle="1" w:styleId="399">
    <w:name w:val="BioQuote Tekst"/>
    <w:basedOn w:val="1"/>
    <w:autoRedefine/>
    <w:qFormat/>
    <w:uiPriority w:val="0"/>
    <w:pPr>
      <w:ind w:right="-1"/>
    </w:pPr>
    <w:rPr>
      <w:rFonts w:ascii="Arial" w:hAnsi="Arial"/>
      <w:snapToGrid w:val="0"/>
      <w:kern w:val="0"/>
      <w:sz w:val="22"/>
      <w:szCs w:val="20"/>
      <w:lang w:eastAsia="en-US"/>
    </w:rPr>
  </w:style>
  <w:style w:type="paragraph" w:customStyle="1" w:styleId="400">
    <w:name w:val="font9"/>
    <w:basedOn w:val="1"/>
    <w:autoRedefine/>
    <w:qFormat/>
    <w:uiPriority w:val="0"/>
    <w:pPr>
      <w:widowControl/>
      <w:spacing w:before="100" w:beforeAutospacing="1" w:after="100" w:afterAutospacing="1"/>
    </w:pPr>
    <w:rPr>
      <w:color w:val="000000"/>
      <w:kern w:val="0"/>
      <w:szCs w:val="20"/>
    </w:rPr>
  </w:style>
  <w:style w:type="paragraph" w:customStyle="1" w:styleId="401">
    <w:name w:val="table_lines"/>
    <w:basedOn w:val="1"/>
    <w:autoRedefine/>
    <w:qFormat/>
    <w:uiPriority w:val="0"/>
    <w:pPr>
      <w:widowControl/>
      <w:jc w:val="left"/>
    </w:pPr>
    <w:rPr>
      <w:kern w:val="0"/>
      <w:sz w:val="20"/>
      <w:szCs w:val="20"/>
      <w:lang w:val="de-DE" w:eastAsia="de-DE"/>
    </w:rPr>
  </w:style>
  <w:style w:type="paragraph" w:customStyle="1" w:styleId="402">
    <w:name w:val="投标文件正文"/>
    <w:basedOn w:val="1"/>
    <w:autoRedefine/>
    <w:qFormat/>
    <w:uiPriority w:val="0"/>
    <w:pPr>
      <w:spacing w:before="40" w:after="40" w:line="400" w:lineRule="exact"/>
      <w:ind w:firstLine="200"/>
    </w:pPr>
  </w:style>
  <w:style w:type="paragraph" w:customStyle="1" w:styleId="403">
    <w:name w:val="格式1"/>
    <w:next w:val="1"/>
    <w:autoRedefine/>
    <w:qFormat/>
    <w:uiPriority w:val="0"/>
    <w:pPr>
      <w:keepNext/>
      <w:widowControl w:val="0"/>
      <w:adjustRightInd w:val="0"/>
      <w:snapToGrid w:val="0"/>
      <w:spacing w:before="156" w:line="440" w:lineRule="exact"/>
      <w:jc w:val="both"/>
      <w:outlineLvl w:val="3"/>
    </w:pPr>
    <w:rPr>
      <w:rFonts w:ascii="Times New Roman" w:hAnsi="Times New Roman" w:eastAsia="宋体" w:cs="Times New Roman"/>
      <w:b/>
      <w:sz w:val="24"/>
      <w:lang w:val="en-US" w:eastAsia="zh-CN" w:bidi="ar-SA"/>
    </w:rPr>
  </w:style>
  <w:style w:type="paragraph" w:customStyle="1" w:styleId="404">
    <w:name w:val="xl57"/>
    <w:basedOn w:val="1"/>
    <w:autoRedefine/>
    <w:qFormat/>
    <w:uiPriority w:val="0"/>
    <w:pPr>
      <w:widowControl/>
      <w:pBdr>
        <w:top w:val="single" w:color="auto" w:sz="4" w:space="0"/>
        <w:right w:val="single" w:color="auto" w:sz="4" w:space="0"/>
      </w:pBdr>
      <w:spacing w:before="100" w:beforeAutospacing="1" w:after="100" w:afterAutospacing="1"/>
    </w:pPr>
    <w:rPr>
      <w:rFonts w:hint="eastAsia" w:ascii="宋体" w:hAnsi="宋体"/>
      <w:kern w:val="0"/>
      <w:szCs w:val="20"/>
    </w:rPr>
  </w:style>
  <w:style w:type="paragraph" w:customStyle="1" w:styleId="405">
    <w:name w:val="xl73"/>
    <w:basedOn w:val="1"/>
    <w:autoRedefine/>
    <w:qFormat/>
    <w:uiPriority w:val="0"/>
    <w:pPr>
      <w:widowControl/>
      <w:pBdr>
        <w:top w:val="single" w:color="auto" w:sz="4" w:space="0"/>
        <w:bottom w:val="single" w:color="auto" w:sz="4" w:space="0"/>
      </w:pBdr>
      <w:shd w:val="clear" w:color="auto" w:fill="FFFF99"/>
      <w:spacing w:before="100" w:beforeAutospacing="1" w:after="100" w:afterAutospacing="1"/>
    </w:pPr>
    <w:rPr>
      <w:rFonts w:hint="eastAsia" w:ascii="宋体" w:hAnsi="宋体"/>
      <w:b/>
      <w:kern w:val="0"/>
      <w:sz w:val="28"/>
      <w:szCs w:val="20"/>
    </w:rPr>
  </w:style>
  <w:style w:type="paragraph" w:customStyle="1" w:styleId="406">
    <w:name w:val="xl6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pPr>
    <w:rPr>
      <w:rFonts w:hint="eastAsia" w:ascii="宋体" w:hAnsi="宋体"/>
      <w:b/>
      <w:kern w:val="0"/>
      <w:szCs w:val="20"/>
    </w:rPr>
  </w:style>
  <w:style w:type="paragraph" w:customStyle="1" w:styleId="407">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kern w:val="0"/>
      <w:szCs w:val="20"/>
    </w:rPr>
  </w:style>
  <w:style w:type="paragraph" w:customStyle="1" w:styleId="408">
    <w:name w:val="默认段落字体 Para Char Char Char"/>
    <w:basedOn w:val="1"/>
    <w:autoRedefine/>
    <w:qFormat/>
    <w:uiPriority w:val="0"/>
    <w:pPr>
      <w:tabs>
        <w:tab w:val="left" w:pos="1440"/>
      </w:tabs>
    </w:pPr>
  </w:style>
  <w:style w:type="paragraph" w:customStyle="1" w:styleId="409">
    <w:name w:val="标题03"/>
    <w:basedOn w:val="4"/>
    <w:next w:val="1"/>
    <w:autoRedefine/>
    <w:qFormat/>
    <w:uiPriority w:val="0"/>
    <w:pPr>
      <w:keepNext w:val="0"/>
      <w:keepLines w:val="0"/>
      <w:numPr>
        <w:ilvl w:val="2"/>
        <w:numId w:val="10"/>
      </w:numPr>
      <w:spacing w:line="400" w:lineRule="atLeast"/>
      <w:ind w:firstLine="200" w:firstLineChars="200"/>
    </w:pPr>
    <w:rPr>
      <w:rFonts w:ascii="宋体" w:hAnsi="宋体"/>
      <w:b w:val="0"/>
      <w:sz w:val="24"/>
    </w:rPr>
  </w:style>
  <w:style w:type="paragraph" w:customStyle="1" w:styleId="410">
    <w:name w:val="序号正文"/>
    <w:basedOn w:val="1"/>
    <w:autoRedefine/>
    <w:qFormat/>
    <w:uiPriority w:val="0"/>
    <w:pPr>
      <w:numPr>
        <w:ilvl w:val="0"/>
        <w:numId w:val="12"/>
      </w:numPr>
      <w:tabs>
        <w:tab w:val="left" w:pos="425"/>
        <w:tab w:val="clear" w:pos="1104"/>
      </w:tabs>
      <w:spacing w:before="156" w:beforeLines="50" w:after="156" w:afterLines="50" w:line="300" w:lineRule="auto"/>
    </w:pPr>
  </w:style>
  <w:style w:type="paragraph" w:customStyle="1" w:styleId="411">
    <w:name w:val="纯文本11"/>
    <w:basedOn w:val="1"/>
    <w:autoRedefine/>
    <w:qFormat/>
    <w:uiPriority w:val="0"/>
    <w:pPr>
      <w:adjustRightInd w:val="0"/>
    </w:pPr>
    <w:rPr>
      <w:rFonts w:ascii="宋体" w:hAnsi="Courier New" w:eastAsia="楷体_GB2312"/>
      <w:kern w:val="0"/>
      <w:sz w:val="26"/>
    </w:rPr>
  </w:style>
  <w:style w:type="paragraph" w:customStyle="1" w:styleId="412">
    <w:name w:val="正文格式（小四）"/>
    <w:basedOn w:val="1"/>
    <w:autoRedefine/>
    <w:qFormat/>
    <w:uiPriority w:val="0"/>
    <w:pPr>
      <w:widowControl/>
      <w:adjustRightInd w:val="0"/>
      <w:snapToGrid w:val="0"/>
      <w:spacing w:line="440" w:lineRule="exact"/>
      <w:ind w:firstLine="482"/>
      <w:jc w:val="center"/>
      <w:textAlignment w:val="baseline"/>
    </w:pPr>
    <w:rPr>
      <w:rFonts w:ascii="宋体" w:hAnsi="宋体"/>
      <w:kern w:val="24"/>
    </w:rPr>
  </w:style>
  <w:style w:type="paragraph" w:customStyle="1" w:styleId="413">
    <w:name w:val="xl7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pPr>
    <w:rPr>
      <w:rFonts w:hint="eastAsia" w:ascii="宋体" w:hAnsi="宋体"/>
      <w:b/>
      <w:kern w:val="0"/>
      <w:sz w:val="28"/>
      <w:szCs w:val="20"/>
    </w:rPr>
  </w:style>
  <w:style w:type="paragraph" w:customStyle="1" w:styleId="414">
    <w:name w:val="Tender"/>
    <w:basedOn w:val="1"/>
    <w:next w:val="1"/>
    <w:autoRedefine/>
    <w:qFormat/>
    <w:uiPriority w:val="0"/>
    <w:pPr>
      <w:widowControl/>
      <w:spacing w:before="120" w:after="360"/>
    </w:pPr>
    <w:rPr>
      <w:rFonts w:ascii="Arial" w:hAnsi="Arial"/>
      <w:kern w:val="0"/>
      <w:szCs w:val="20"/>
      <w:lang w:eastAsia="en-US"/>
    </w:rPr>
  </w:style>
  <w:style w:type="paragraph" w:customStyle="1" w:styleId="415">
    <w:name w:val="Andy_正文"/>
    <w:basedOn w:val="1"/>
    <w:autoRedefine/>
    <w:qFormat/>
    <w:uiPriority w:val="0"/>
    <w:rPr>
      <w:rFonts w:ascii="Calibri" w:hAnsi="Calibri"/>
      <w:kern w:val="0"/>
    </w:rPr>
  </w:style>
  <w:style w:type="paragraph" w:customStyle="1" w:styleId="416">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17">
    <w:name w:val="xl7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pPr>
    <w:rPr>
      <w:rFonts w:hint="eastAsia" w:ascii="宋体" w:hAnsi="宋体"/>
      <w:b/>
      <w:kern w:val="0"/>
      <w:sz w:val="28"/>
      <w:szCs w:val="20"/>
    </w:rPr>
  </w:style>
  <w:style w:type="paragraph" w:customStyle="1" w:styleId="418">
    <w:name w:val="xl60"/>
    <w:basedOn w:val="1"/>
    <w:autoRedefine/>
    <w:qFormat/>
    <w:uiPriority w:val="0"/>
    <w:pPr>
      <w:widowControl/>
      <w:pBdr>
        <w:top w:val="single" w:color="auto" w:sz="4" w:space="0"/>
        <w:right w:val="single" w:color="auto" w:sz="4" w:space="0"/>
      </w:pBdr>
      <w:spacing w:before="100" w:beforeAutospacing="1" w:after="100" w:afterAutospacing="1"/>
    </w:pPr>
    <w:rPr>
      <w:rFonts w:hint="eastAsia" w:ascii="宋体" w:hAnsi="宋体"/>
      <w:color w:val="000000"/>
      <w:kern w:val="0"/>
      <w:szCs w:val="20"/>
    </w:rPr>
  </w:style>
  <w:style w:type="paragraph" w:customStyle="1" w:styleId="419">
    <w:name w:val="xl25"/>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420">
    <w:name w:val="xl30"/>
    <w:basedOn w:val="1"/>
    <w:autoRedefine/>
    <w:qFormat/>
    <w:uiPriority w:val="0"/>
    <w:pPr>
      <w:widowControl/>
      <w:spacing w:before="100" w:beforeAutospacing="1" w:after="100" w:afterAutospacing="1"/>
      <w:jc w:val="center"/>
    </w:pPr>
    <w:rPr>
      <w:rFonts w:ascii="宋体" w:hAnsi="宋体"/>
      <w:b/>
      <w:bCs/>
      <w:kern w:val="0"/>
      <w:sz w:val="36"/>
      <w:szCs w:val="36"/>
    </w:rPr>
  </w:style>
  <w:style w:type="paragraph" w:customStyle="1" w:styleId="421">
    <w:name w:val="xl8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22">
    <w:name w:val="p0"/>
    <w:basedOn w:val="1"/>
    <w:autoRedefine/>
    <w:qFormat/>
    <w:uiPriority w:val="0"/>
    <w:pPr>
      <w:widowControl/>
    </w:pPr>
    <w:rPr>
      <w:kern w:val="0"/>
      <w:szCs w:val="20"/>
    </w:rPr>
  </w:style>
  <w:style w:type="paragraph" w:customStyle="1" w:styleId="42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kern w:val="0"/>
      <w:szCs w:val="20"/>
    </w:rPr>
  </w:style>
  <w:style w:type="paragraph" w:customStyle="1" w:styleId="424">
    <w:name w:val="Char Char Char Char Char Char Char"/>
    <w:basedOn w:val="14"/>
    <w:autoRedefine/>
    <w:qFormat/>
    <w:uiPriority w:val="0"/>
    <w:pPr>
      <w:adjustRightInd w:val="0"/>
      <w:snapToGrid w:val="0"/>
      <w:ind w:firstLine="200"/>
    </w:pPr>
    <w:rPr>
      <w:rFonts w:ascii="Tahoma" w:hAnsi="Tahoma"/>
      <w:sz w:val="24"/>
      <w:szCs w:val="24"/>
      <w:shd w:val="clear" w:color="auto" w:fill="000080"/>
    </w:rPr>
  </w:style>
  <w:style w:type="paragraph" w:customStyle="1" w:styleId="425">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26">
    <w:name w:val="para"/>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427">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olor w:val="000000"/>
      <w:kern w:val="0"/>
      <w:szCs w:val="20"/>
    </w:rPr>
  </w:style>
  <w:style w:type="paragraph" w:customStyle="1" w:styleId="428">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olor w:val="000000"/>
      <w:kern w:val="0"/>
      <w:szCs w:val="20"/>
    </w:rPr>
  </w:style>
  <w:style w:type="paragraph" w:customStyle="1" w:styleId="42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Cs w:val="20"/>
    </w:rPr>
  </w:style>
  <w:style w:type="paragraph" w:customStyle="1" w:styleId="430">
    <w:name w:val="APCTableContent"/>
    <w:basedOn w:val="233"/>
    <w:autoRedefine/>
    <w:qFormat/>
    <w:uiPriority w:val="0"/>
    <w:pPr>
      <w:spacing w:before="40" w:after="40"/>
    </w:pPr>
    <w:rPr>
      <w:rFonts w:ascii="Times New Roman" w:hAnsi="Times New Roman"/>
      <w:sz w:val="16"/>
      <w:szCs w:val="16"/>
    </w:rPr>
  </w:style>
  <w:style w:type="paragraph" w:customStyle="1" w:styleId="431">
    <w:name w:val="默认段落字体 Para Char Char Char Char Char Char Char"/>
    <w:basedOn w:val="1"/>
    <w:autoRedefine/>
    <w:qFormat/>
    <w:uiPriority w:val="0"/>
    <w:rPr>
      <w:rFonts w:ascii="Tahoma" w:hAnsi="Tahoma"/>
      <w:szCs w:val="20"/>
    </w:rPr>
  </w:style>
  <w:style w:type="paragraph" w:customStyle="1" w:styleId="432">
    <w:name w:val="表格 居中"/>
    <w:basedOn w:val="1"/>
    <w:autoRedefine/>
    <w:qFormat/>
    <w:uiPriority w:val="0"/>
    <w:rPr>
      <w:rFonts w:ascii="宋体" w:hAnsi="宋体"/>
      <w:snapToGrid w:val="0"/>
      <w:color w:val="000000"/>
      <w:szCs w:val="20"/>
    </w:rPr>
  </w:style>
  <w:style w:type="paragraph" w:customStyle="1" w:styleId="433">
    <w:name w:val="图注"/>
    <w:basedOn w:val="1"/>
    <w:autoRedefine/>
    <w:qFormat/>
    <w:uiPriority w:val="0"/>
    <w:pPr>
      <w:widowControl/>
      <w:adjustRightInd w:val="0"/>
      <w:snapToGrid w:val="0"/>
      <w:spacing w:line="300" w:lineRule="auto"/>
      <w:ind w:left="1418"/>
      <w:jc w:val="left"/>
    </w:pPr>
    <w:rPr>
      <w:rFonts w:eastAsia="楷体_GB2312"/>
      <w:sz w:val="18"/>
      <w:szCs w:val="20"/>
    </w:rPr>
  </w:style>
  <w:style w:type="paragraph" w:customStyle="1" w:styleId="434">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435">
    <w:name w:val="Char11"/>
    <w:basedOn w:val="1"/>
    <w:autoRedefine/>
    <w:qFormat/>
    <w:uiPriority w:val="0"/>
    <w:rPr>
      <w:szCs w:val="20"/>
    </w:rPr>
  </w:style>
  <w:style w:type="paragraph" w:customStyle="1" w:styleId="436">
    <w:name w:val="font7"/>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37">
    <w:name w:val="标题 07"/>
    <w:basedOn w:val="9"/>
    <w:next w:val="1"/>
    <w:autoRedefine/>
    <w:qFormat/>
    <w:uiPriority w:val="0"/>
    <w:pPr>
      <w:numPr>
        <w:numId w:val="10"/>
      </w:numPr>
      <w:spacing w:before="0" w:after="0" w:line="400" w:lineRule="atLeast"/>
      <w:ind w:firstLine="200"/>
    </w:pPr>
    <w:rPr>
      <w:b w:val="0"/>
    </w:rPr>
  </w:style>
  <w:style w:type="paragraph" w:customStyle="1" w:styleId="438">
    <w:name w:val="普通 (Web)"/>
    <w:basedOn w:val="1"/>
    <w:autoRedefine/>
    <w:qFormat/>
    <w:uiPriority w:val="0"/>
    <w:pPr>
      <w:widowControl/>
      <w:spacing w:before="100" w:beforeAutospacing="1" w:after="100" w:afterAutospacing="1"/>
      <w:jc w:val="left"/>
    </w:pPr>
    <w:rPr>
      <w:rFonts w:ascii="宋体" w:hAnsi="宋体"/>
      <w:kern w:val="0"/>
    </w:rPr>
  </w:style>
  <w:style w:type="paragraph" w:customStyle="1" w:styleId="439">
    <w:name w:val="dt2"/>
    <w:basedOn w:val="1"/>
    <w:autoRedefine/>
    <w:qFormat/>
    <w:uiPriority w:val="0"/>
    <w:pPr>
      <w:jc w:val="left"/>
    </w:pPr>
    <w:rPr>
      <w:kern w:val="0"/>
    </w:rPr>
  </w:style>
  <w:style w:type="paragraph" w:customStyle="1" w:styleId="440">
    <w:name w:val="P1"/>
    <w:autoRedefine/>
    <w:qFormat/>
    <w:uiPriority w:val="0"/>
    <w:pPr>
      <w:widowControl w:val="0"/>
      <w:adjustRightInd w:val="0"/>
      <w:spacing w:after="240" w:line="0" w:lineRule="atLeast"/>
      <w:ind w:left="2304"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441">
    <w:name w:val="标题02"/>
    <w:basedOn w:val="3"/>
    <w:next w:val="1"/>
    <w:autoRedefine/>
    <w:qFormat/>
    <w:uiPriority w:val="0"/>
    <w:pPr>
      <w:keepNext w:val="0"/>
      <w:keepLines w:val="0"/>
      <w:numPr>
        <w:ilvl w:val="1"/>
        <w:numId w:val="10"/>
      </w:numPr>
      <w:adjustRightInd w:val="0"/>
      <w:snapToGrid w:val="0"/>
      <w:spacing w:before="0" w:after="0" w:line="400" w:lineRule="atLeast"/>
      <w:ind w:left="0" w:firstLine="200" w:firstLineChars="200"/>
    </w:pPr>
    <w:rPr>
      <w:rFonts w:ascii="Cambria" w:hAnsi="Cambria"/>
      <w:b w:val="0"/>
      <w:sz w:val="24"/>
    </w:rPr>
  </w:style>
  <w:style w:type="paragraph" w:styleId="442">
    <w:name w:val="No Spacing"/>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3">
    <w:name w:val="99-标书-正文"/>
    <w:autoRedefine/>
    <w:qFormat/>
    <w:uiPriority w:val="0"/>
    <w:pPr>
      <w:spacing w:line="360" w:lineRule="auto"/>
      <w:ind w:firstLine="480" w:firstLineChars="200"/>
      <w:jc w:val="both"/>
    </w:pPr>
    <w:rPr>
      <w:rFonts w:ascii="宋体" w:hAnsi="宋体" w:eastAsia="宋体" w:cs="Times New Roman"/>
      <w:color w:val="000000"/>
      <w:kern w:val="2"/>
      <w:sz w:val="24"/>
      <w:szCs w:val="21"/>
      <w:lang w:val="en-US" w:eastAsia="zh-CN" w:bidi="ar-SA"/>
    </w:rPr>
  </w:style>
  <w:style w:type="paragraph" w:customStyle="1" w:styleId="444">
    <w:name w:val="04-标书-标题4"/>
    <w:basedOn w:val="443"/>
    <w:autoRedefine/>
    <w:qFormat/>
    <w:uiPriority w:val="0"/>
    <w:pPr>
      <w:numPr>
        <w:ilvl w:val="3"/>
        <w:numId w:val="13"/>
      </w:numPr>
      <w:ind w:firstLineChars="0"/>
      <w:outlineLvl w:val="3"/>
    </w:pPr>
    <w:rPr>
      <w:rFonts w:ascii="Times New Roman" w:hAnsi="Times New Roman" w:eastAsia="黑体"/>
    </w:rPr>
  </w:style>
  <w:style w:type="character" w:customStyle="1" w:styleId="445">
    <w:name w:val="UserStyle_1"/>
    <w:autoRedefine/>
    <w:qFormat/>
    <w:uiPriority w:val="0"/>
    <w:rPr>
      <w:rFonts w:ascii="Times New Roman" w:hAnsi="Times New Roman" w:eastAsia="宋体" w:cs="Times New Roman"/>
    </w:rPr>
  </w:style>
  <w:style w:type="table" w:customStyle="1" w:styleId="446">
    <w:name w:val="网格型1"/>
    <w:autoRedefine/>
    <w:qFormat/>
    <w:uiPriority w:val="0"/>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47">
    <w:name w:val="正文首行缩进两字符"/>
    <w:autoRedefine/>
    <w:qFormat/>
    <w:uiPriority w:val="0"/>
    <w:pPr>
      <w:spacing w:line="360" w:lineRule="auto"/>
      <w:ind w:firstLine="200" w:firstLineChars="200"/>
    </w:pPr>
    <w:rPr>
      <w:rFonts w:ascii="Times New Roman" w:hAnsi="Times New Roman" w:eastAsia="宋体" w:cs="Times New Roman"/>
      <w:sz w:val="21"/>
      <w:szCs w:val="24"/>
      <w:lang w:val="en-US" w:eastAsia="zh-CN" w:bidi="ar-SA"/>
    </w:rPr>
  </w:style>
  <w:style w:type="character" w:customStyle="1" w:styleId="448">
    <w:name w:val="NormalCharacter"/>
    <w:autoRedefine/>
    <w:qFormat/>
    <w:uiPriority w:val="0"/>
    <w:rPr>
      <w:rFonts w:ascii="Times New Roman" w:hAnsi="Times New Roman" w:eastAsia="宋体" w:cs="Times New Roman"/>
      <w:kern w:val="2"/>
      <w:sz w:val="21"/>
      <w:lang w:val="en-US" w:eastAsia="zh-CN" w:bidi="ar-SA"/>
    </w:rPr>
  </w:style>
  <w:style w:type="paragraph" w:customStyle="1" w:styleId="449">
    <w:name w:val="江建权"/>
    <w:basedOn w:val="1"/>
    <w:autoRedefine/>
    <w:qFormat/>
    <w:uiPriority w:val="0"/>
    <w:pPr>
      <w:spacing w:line="400" w:lineRule="exact"/>
      <w:ind w:firstLine="200"/>
    </w:pPr>
    <w:rPr>
      <w:szCs w:val="20"/>
    </w:rPr>
  </w:style>
  <w:style w:type="paragraph" w:customStyle="1" w:styleId="45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1">
    <w:name w:val="font51"/>
    <w:basedOn w:val="52"/>
    <w:qFormat/>
    <w:uiPriority w:val="0"/>
    <w:rPr>
      <w:rFonts w:hint="eastAsia" w:ascii="宋体" w:hAnsi="宋体" w:eastAsia="宋体" w:cs="宋体"/>
      <w:b/>
      <w:bCs/>
      <w:color w:val="000000"/>
      <w:sz w:val="20"/>
      <w:szCs w:val="20"/>
      <w:u w:val="none"/>
    </w:rPr>
  </w:style>
  <w:style w:type="character" w:customStyle="1" w:styleId="452">
    <w:name w:val="font41"/>
    <w:basedOn w:val="52"/>
    <w:qFormat/>
    <w:uiPriority w:val="0"/>
    <w:rPr>
      <w:rFonts w:hint="default" w:ascii="Arial" w:hAnsi="Arial" w:cs="Arial"/>
      <w:color w:val="333333"/>
      <w:sz w:val="20"/>
      <w:szCs w:val="20"/>
      <w:u w:val="none"/>
    </w:rPr>
  </w:style>
  <w:style w:type="character" w:customStyle="1" w:styleId="453">
    <w:name w:val="font31"/>
    <w:basedOn w:val="52"/>
    <w:qFormat/>
    <w:uiPriority w:val="0"/>
    <w:rPr>
      <w:rFonts w:hint="eastAsia" w:ascii="宋体" w:hAnsi="宋体" w:eastAsia="宋体" w:cs="宋体"/>
      <w:color w:val="000000"/>
      <w:sz w:val="21"/>
      <w:szCs w:val="21"/>
      <w:u w:val="none"/>
    </w:rPr>
  </w:style>
  <w:style w:type="character" w:customStyle="1" w:styleId="454">
    <w:name w:val="font21"/>
    <w:basedOn w:val="52"/>
    <w:qFormat/>
    <w:uiPriority w:val="0"/>
    <w:rPr>
      <w:rFonts w:hint="eastAsia" w:ascii="宋体" w:hAnsi="宋体" w:eastAsia="宋体" w:cs="宋体"/>
      <w:color w:val="000000"/>
      <w:sz w:val="22"/>
      <w:szCs w:val="22"/>
      <w:u w:val="none"/>
    </w:rPr>
  </w:style>
  <w:style w:type="paragraph" w:customStyle="1" w:styleId="455">
    <w:name w:val="正文文本缩进 31"/>
    <w:basedOn w:val="1"/>
    <w:qFormat/>
    <w:uiPriority w:val="0"/>
    <w:pPr>
      <w:widowControl w:val="0"/>
      <w:spacing w:line="300" w:lineRule="auto"/>
      <w:ind w:firstLine="480"/>
    </w:pPr>
    <w:rPr>
      <w:lang w:val="en-US" w:eastAsia="en-US"/>
    </w:rPr>
  </w:style>
  <w:style w:type="character" w:customStyle="1" w:styleId="456">
    <w:name w:val="font81"/>
    <w:basedOn w:val="52"/>
    <w:qFormat/>
    <w:uiPriority w:val="0"/>
    <w:rPr>
      <w:rFonts w:hint="default" w:ascii="Times New Roman" w:hAnsi="Times New Roman" w:cs="Times New Roman"/>
      <w:color w:val="000000"/>
      <w:sz w:val="16"/>
      <w:szCs w:val="16"/>
      <w:u w:val="none"/>
    </w:rPr>
  </w:style>
  <w:style w:type="character" w:customStyle="1" w:styleId="457">
    <w:name w:val="font112"/>
    <w:basedOn w:val="52"/>
    <w:qFormat/>
    <w:uiPriority w:val="0"/>
    <w:rPr>
      <w:rFonts w:ascii="Calibri" w:hAnsi="Calibri" w:cs="Calibri"/>
      <w:color w:val="000000"/>
      <w:sz w:val="16"/>
      <w:szCs w:val="16"/>
      <w:u w:val="none"/>
    </w:rPr>
  </w:style>
  <w:style w:type="paragraph" w:customStyle="1" w:styleId="458">
    <w:name w:val="样式 宋体 行距: 1.5 倍行距"/>
    <w:basedOn w:val="1"/>
    <w:autoRedefine/>
    <w:qFormat/>
    <w:uiPriority w:val="0"/>
    <w:pPr>
      <w:spacing w:line="240" w:lineRule="auto"/>
      <w:jc w:val="center"/>
    </w:pPr>
    <w:rPr>
      <w:rFonts w:hint="default" w:ascii="Times New Roman"/>
      <w:b/>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0.png"/><Relationship Id="rId3" Type="http://schemas.openxmlformats.org/officeDocument/2006/relationships/footnotes" Target="footnotes.xml"/><Relationship Id="rId29" Type="http://schemas.openxmlformats.org/officeDocument/2006/relationships/image" Target="media/image9.png"/><Relationship Id="rId28" Type="http://schemas.openxmlformats.org/officeDocument/2006/relationships/image" Target="media/image8.png"/><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360xt.cn</Company>
  <Pages>41</Pages>
  <Words>10236</Words>
  <Characters>10952</Characters>
  <Lines>137</Lines>
  <Paragraphs>38</Paragraphs>
  <TotalTime>30</TotalTime>
  <ScaleCrop>false</ScaleCrop>
  <LinksUpToDate>false</LinksUpToDate>
  <CharactersWithSpaces>11415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2024-06-28T03:35:00Z</dcterms:created>
  <dc:creator>公共资源交易中心</dc:creator>
  <cp:lastModifiedBy>你是我的</cp:lastModifiedBy>
  <cp:lastPrinted>2025-03-12T01:48:00Z</cp:lastPrinted>
  <dcterms:modified xsi:type="dcterms:W3CDTF">2025-10-14T10:56:23Z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4039A5DA03BA4F55BD800A79C0C535AB_13</vt:lpwstr>
  </property>
  <property fmtid="{D5CDD505-2E9C-101B-9397-08002B2CF9AE}" pid="4" name="commondata">
    <vt:lpwstr>eyJoZGlkIjoiZjE1MDZjNWM5NWUwMmEwZTcxMzZkZWYyNGM0MTJkZWUifQ==</vt:lpwstr>
  </property>
  <property fmtid="{D5CDD505-2E9C-101B-9397-08002B2CF9AE}" pid="5" name="KSOTemplateDocerSaveRecord">
    <vt:lpwstr>eyJoZGlkIjoiM2IwNGQ5MmQwYzU0MTFiM2U5ZjEzNWVmZTU2NTZmYzciLCJ1c2VySWQiOiIyNzE3MTk2NzkifQ==</vt:lpwstr>
  </property>
</Properties>
</file>